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2CCC" w14:textId="3609B03D" w:rsidR="00B21AD9" w:rsidRPr="00B21AD9" w:rsidRDefault="00B21AD9" w:rsidP="00B21AD9">
      <w:pPr>
        <w:rPr>
          <w:rFonts w:ascii="Times New Roman" w:hAnsi="Times New Roman" w:cs="Times New Roman"/>
          <w:b/>
          <w:sz w:val="24"/>
          <w:szCs w:val="24"/>
          <w:lang w:val="en-CA"/>
        </w:rPr>
      </w:pPr>
      <w:r w:rsidRPr="001B1252">
        <w:rPr>
          <w:rFonts w:ascii="Times New Roman" w:hAnsi="Times New Roman" w:cs="Times New Roman"/>
          <w:b/>
          <w:sz w:val="24"/>
          <w:szCs w:val="24"/>
          <w:lang w:val="en-CA"/>
        </w:rPr>
        <w:t xml:space="preserve">Additional File </w:t>
      </w:r>
      <w:r w:rsidR="00200DF2">
        <w:rPr>
          <w:rFonts w:ascii="Times New Roman" w:hAnsi="Times New Roman" w:cs="Times New Roman"/>
          <w:b/>
          <w:sz w:val="24"/>
          <w:szCs w:val="24"/>
          <w:lang w:val="en-CA"/>
        </w:rPr>
        <w:t>3</w:t>
      </w:r>
      <w:r w:rsidRPr="001B1252">
        <w:rPr>
          <w:rFonts w:ascii="Times New Roman" w:hAnsi="Times New Roman" w:cs="Times New Roman"/>
          <w:b/>
          <w:sz w:val="24"/>
          <w:szCs w:val="24"/>
          <w:lang w:val="en-CA"/>
        </w:rPr>
        <w:t>.</w:t>
      </w:r>
      <w:r w:rsidRPr="00B21AD9">
        <w:rPr>
          <w:b/>
          <w:sz w:val="24"/>
          <w:szCs w:val="24"/>
          <w:lang w:val="en-CA"/>
        </w:rPr>
        <w:t xml:space="preserve"> </w:t>
      </w:r>
      <w:r w:rsidRPr="00B21AD9">
        <w:rPr>
          <w:rFonts w:ascii="Times New Roman" w:hAnsi="Times New Roman" w:cs="Times New Roman"/>
          <w:b/>
          <w:sz w:val="24"/>
          <w:szCs w:val="24"/>
          <w:lang w:val="en-CA"/>
        </w:rPr>
        <w:t xml:space="preserve">Policy analysis tools identified through </w:t>
      </w:r>
      <w:r>
        <w:rPr>
          <w:rFonts w:ascii="Times New Roman" w:hAnsi="Times New Roman" w:cs="Times New Roman"/>
          <w:b/>
          <w:sz w:val="24"/>
          <w:szCs w:val="24"/>
          <w:lang w:val="en-CA"/>
        </w:rPr>
        <w:t>the</w:t>
      </w:r>
      <w:r w:rsidRPr="00B21AD9">
        <w:rPr>
          <w:rFonts w:ascii="Times New Roman" w:hAnsi="Times New Roman" w:cs="Times New Roman"/>
          <w:b/>
          <w:sz w:val="24"/>
          <w:szCs w:val="24"/>
          <w:lang w:val="en-CA"/>
        </w:rPr>
        <w:t xml:space="preserve"> literature review </w:t>
      </w:r>
      <w:r w:rsidRPr="00B21AD9">
        <w:rPr>
          <w:rFonts w:ascii="Times New Roman" w:hAnsi="Times New Roman" w:cs="Times New Roman"/>
          <w:b/>
          <w:sz w:val="24"/>
          <w:szCs w:val="24"/>
        </w:rPr>
        <w:t>used to assess the impact of sex, gender, and at least one other social identity.</w:t>
      </w:r>
    </w:p>
    <w:p w14:paraId="0B8480D4" w14:textId="77777777" w:rsidR="00B21AD9" w:rsidRDefault="00B21AD9" w:rsidP="00B21AD9">
      <w:pPr>
        <w:spacing w:before="240" w:after="0" w:line="480" w:lineRule="auto"/>
        <w:rPr>
          <w:rFonts w:ascii="Times New Roman" w:hAnsi="Times New Roman" w:cs="Times New Roman"/>
          <w:sz w:val="24"/>
          <w:szCs w:val="24"/>
        </w:rPr>
      </w:pPr>
      <w:r w:rsidRPr="00BA799C">
        <w:rPr>
          <w:rFonts w:ascii="Times New Roman" w:hAnsi="Times New Roman" w:cs="Times New Roman"/>
          <w:i/>
          <w:iCs/>
          <w:sz w:val="24"/>
          <w:szCs w:val="24"/>
        </w:rPr>
        <w:t>Policy Scorecard for Gender Mainstreaming</w:t>
      </w:r>
    </w:p>
    <w:p w14:paraId="754EFC03" w14:textId="1E1A5E70" w:rsidR="00B21AD9" w:rsidRPr="00BA799C" w:rsidRDefault="00B21AD9" w:rsidP="00B21AD9">
      <w:pPr>
        <w:spacing w:line="480" w:lineRule="auto"/>
        <w:rPr>
          <w:rFonts w:ascii="Times New Roman" w:hAnsi="Times New Roman" w:cs="Times New Roman"/>
          <w:sz w:val="24"/>
          <w:szCs w:val="24"/>
        </w:rPr>
      </w:pPr>
      <w:r w:rsidRPr="00BA799C">
        <w:rPr>
          <w:rFonts w:ascii="Times New Roman" w:hAnsi="Times New Roman" w:cs="Times New Roman"/>
          <w:sz w:val="24"/>
          <w:szCs w:val="24"/>
        </w:rPr>
        <w:t>This tool evaluates whether a gender-equity focus, along with a focus on social determinants of health such as income, are incorporated into health-related government policies</w:t>
      </w:r>
      <w:r w:rsidR="0061636C">
        <w:rPr>
          <w:rFonts w:ascii="Times New Roman" w:hAnsi="Times New Roman" w:cs="Times New Roman" w:hint="eastAsia"/>
          <w:sz w:val="24"/>
          <w:szCs w:val="24"/>
          <w:lang w:eastAsia="ko-KR"/>
        </w:rPr>
        <w:t xml:space="preserve"> (</w:t>
      </w:r>
      <w:r w:rsidR="0061636C" w:rsidRPr="007C0C08">
        <w:rPr>
          <w:rFonts w:ascii="Times New Roman" w:hAnsi="Times New Roman" w:cs="Times New Roman"/>
        </w:rPr>
        <w:t>Keleher, 2013)</w:t>
      </w:r>
      <w:r>
        <w:rPr>
          <w:rFonts w:ascii="Times New Roman" w:hAnsi="Times New Roman" w:cs="Times New Roman"/>
          <w:sz w:val="24"/>
          <w:szCs w:val="24"/>
        </w:rPr>
        <w:t>.</w:t>
      </w:r>
      <w:r w:rsidRPr="00BA799C">
        <w:rPr>
          <w:rFonts w:ascii="Times New Roman" w:hAnsi="Times New Roman" w:cs="Times New Roman"/>
          <w:sz w:val="24"/>
          <w:szCs w:val="24"/>
        </w:rPr>
        <w:t xml:space="preserve"> Specifically, the scorecard uses a scale of 0 to 5 to rate policies regarding their commitment to addressing gender equity (e.g., the inclusion and use of gender disaggregated data). </w:t>
      </w:r>
    </w:p>
    <w:p w14:paraId="7226E55D" w14:textId="77777777" w:rsidR="00B21AD9" w:rsidRDefault="00B21AD9" w:rsidP="00B21AD9">
      <w:pPr>
        <w:spacing w:before="240" w:after="0" w:line="480" w:lineRule="auto"/>
        <w:rPr>
          <w:rFonts w:ascii="Times New Roman" w:hAnsi="Times New Roman" w:cs="Times New Roman"/>
          <w:sz w:val="24"/>
          <w:szCs w:val="24"/>
        </w:rPr>
      </w:pPr>
      <w:bookmarkStart w:id="0" w:name="_Hlk140584296"/>
      <w:r w:rsidRPr="00BA799C">
        <w:rPr>
          <w:rFonts w:ascii="Times New Roman" w:hAnsi="Times New Roman" w:cs="Times New Roman"/>
          <w:i/>
          <w:iCs/>
          <w:sz w:val="24"/>
          <w:szCs w:val="24"/>
        </w:rPr>
        <w:t>Feminist Policy Analysis Framework</w:t>
      </w:r>
      <w:bookmarkEnd w:id="0"/>
    </w:p>
    <w:p w14:paraId="593A1EBD" w14:textId="7CF1B0A3" w:rsidR="00B21AD9" w:rsidRPr="00BA799C" w:rsidRDefault="00B21AD9" w:rsidP="00B21AD9">
      <w:pPr>
        <w:spacing w:line="480" w:lineRule="auto"/>
        <w:rPr>
          <w:rFonts w:ascii="Times New Roman" w:hAnsi="Times New Roman" w:cs="Times New Roman"/>
          <w:sz w:val="24"/>
          <w:szCs w:val="24"/>
        </w:rPr>
      </w:pPr>
      <w:r w:rsidRPr="00BA799C">
        <w:rPr>
          <w:rFonts w:ascii="Times New Roman" w:hAnsi="Times New Roman" w:cs="Times New Roman"/>
          <w:sz w:val="24"/>
          <w:szCs w:val="24"/>
        </w:rPr>
        <w:t>This framework consists of a set of questions to examine policies through a gendered lens</w:t>
      </w:r>
      <w:r w:rsidR="006F7ABD">
        <w:rPr>
          <w:rFonts w:ascii="Times New Roman" w:hAnsi="Times New Roman" w:cs="Times New Roman" w:hint="eastAsia"/>
          <w:sz w:val="24"/>
          <w:szCs w:val="24"/>
          <w:lang w:eastAsia="ko-KR"/>
        </w:rPr>
        <w:t xml:space="preserve"> (</w:t>
      </w:r>
      <w:r w:rsidR="006F7ABD" w:rsidRPr="007C0C08">
        <w:rPr>
          <w:rFonts w:ascii="Times New Roman" w:hAnsi="Times New Roman" w:cs="Times New Roman"/>
        </w:rPr>
        <w:t>McPhail, 2003</w:t>
      </w:r>
      <w:r w:rsidR="006F7ABD">
        <w:rPr>
          <w:rFonts w:ascii="Times New Roman" w:hAnsi="Times New Roman" w:cs="Times New Roman" w:hint="eastAsia"/>
          <w:lang w:eastAsia="ko-KR"/>
        </w:rPr>
        <w:t>)</w:t>
      </w:r>
      <w:r>
        <w:rPr>
          <w:rFonts w:ascii="Times New Roman" w:hAnsi="Times New Roman" w:cs="Times New Roman"/>
          <w:sz w:val="24"/>
          <w:szCs w:val="24"/>
        </w:rPr>
        <w:t>.</w:t>
      </w:r>
      <w:r w:rsidRPr="00BA799C">
        <w:rPr>
          <w:rFonts w:ascii="Times New Roman" w:hAnsi="Times New Roman" w:cs="Times New Roman"/>
          <w:sz w:val="24"/>
          <w:szCs w:val="24"/>
        </w:rPr>
        <w:t xml:space="preserve"> The goal of this framework is to systematically analyze policies to reveal existing power differentials in policymaking and the extent of structural changes needed to minimize sexist oppression against women. </w:t>
      </w:r>
    </w:p>
    <w:p w14:paraId="25BA1F8A" w14:textId="77777777" w:rsidR="00B21AD9" w:rsidRDefault="00B21AD9" w:rsidP="00B21AD9">
      <w:pPr>
        <w:spacing w:after="0" w:line="480" w:lineRule="auto"/>
        <w:rPr>
          <w:rFonts w:ascii="Times New Roman" w:hAnsi="Times New Roman" w:cs="Times New Roman"/>
          <w:i/>
          <w:iCs/>
          <w:sz w:val="24"/>
          <w:szCs w:val="24"/>
        </w:rPr>
      </w:pPr>
      <w:r w:rsidRPr="00BA799C">
        <w:rPr>
          <w:rFonts w:ascii="Times New Roman" w:hAnsi="Times New Roman" w:cs="Times New Roman"/>
          <w:i/>
          <w:iCs/>
          <w:sz w:val="24"/>
          <w:szCs w:val="24"/>
        </w:rPr>
        <w:t>Intersectionality-Based Policy Analysis Framework</w:t>
      </w:r>
    </w:p>
    <w:p w14:paraId="7058B3AB" w14:textId="4960A818" w:rsidR="00B21AD9" w:rsidRDefault="00B21AD9" w:rsidP="00B21AD9">
      <w:pPr>
        <w:spacing w:line="480" w:lineRule="auto"/>
        <w:rPr>
          <w:rFonts w:ascii="Times New Roman" w:hAnsi="Times New Roman" w:cs="Times New Roman"/>
          <w:sz w:val="24"/>
          <w:szCs w:val="24"/>
        </w:rPr>
      </w:pPr>
      <w:r w:rsidRPr="00BA799C">
        <w:rPr>
          <w:rFonts w:ascii="Times New Roman" w:hAnsi="Times New Roman" w:cs="Times New Roman"/>
          <w:sz w:val="24"/>
          <w:szCs w:val="24"/>
        </w:rPr>
        <w:t>This framework aims to identify the multiple interconnected socio-economic and power structures affecting health, such as geographic location, social class, and resource shortages, which have potential to generate health inequities across diverse populations</w:t>
      </w:r>
      <w:r w:rsidR="00B913E4">
        <w:rPr>
          <w:rFonts w:ascii="Times New Roman" w:hAnsi="Times New Roman" w:cs="Times New Roman" w:hint="eastAsia"/>
          <w:sz w:val="24"/>
          <w:szCs w:val="24"/>
          <w:lang w:eastAsia="ko-KR"/>
        </w:rPr>
        <w:t xml:space="preserve"> (</w:t>
      </w:r>
      <w:proofErr w:type="spellStart"/>
      <w:r w:rsidR="00B913E4" w:rsidRPr="007C0C08">
        <w:rPr>
          <w:rFonts w:ascii="Times New Roman" w:hAnsi="Times New Roman" w:cs="Times New Roman"/>
        </w:rPr>
        <w:t>Hankivsky</w:t>
      </w:r>
      <w:proofErr w:type="spellEnd"/>
      <w:r w:rsidR="00B913E4" w:rsidRPr="007C0C08">
        <w:rPr>
          <w:rFonts w:ascii="Times New Roman" w:hAnsi="Times New Roman" w:cs="Times New Roman"/>
        </w:rPr>
        <w:t>, 2012</w:t>
      </w:r>
      <w:r w:rsidR="00B913E4">
        <w:rPr>
          <w:rFonts w:ascii="Times New Roman" w:hAnsi="Times New Roman" w:cs="Times New Roman" w:hint="eastAsia"/>
          <w:lang w:eastAsia="ko-KR"/>
        </w:rPr>
        <w:t>)</w:t>
      </w:r>
      <w:r>
        <w:rPr>
          <w:rFonts w:ascii="Times New Roman" w:hAnsi="Times New Roman" w:cs="Times New Roman"/>
          <w:sz w:val="24"/>
          <w:szCs w:val="24"/>
        </w:rPr>
        <w:t>.</w:t>
      </w:r>
      <w:r w:rsidRPr="00BA799C">
        <w:rPr>
          <w:rFonts w:ascii="Times New Roman" w:hAnsi="Times New Roman" w:cs="Times New Roman"/>
          <w:sz w:val="24"/>
          <w:szCs w:val="24"/>
        </w:rPr>
        <w:t xml:space="preserve"> It consists of a set of guiding principles and overarching questions to highlight the underlying assumptions of policy goals, framing of social and policy issues, power dynamics affecting people’s lived experiences, along with the possible inequities produced. Another goal of this framework is to identify alternate innovative policy solutions that use intersectional approaches, in order to facilitate inclusive and socially equitable health outcomes. </w:t>
      </w:r>
    </w:p>
    <w:p w14:paraId="15F18C5A" w14:textId="77777777" w:rsidR="00B21AD9" w:rsidRPr="00BA799C" w:rsidRDefault="00B21AD9" w:rsidP="00B21AD9">
      <w:pPr>
        <w:spacing w:line="480" w:lineRule="auto"/>
        <w:rPr>
          <w:rFonts w:ascii="Times New Roman" w:hAnsi="Times New Roman" w:cs="Times New Roman"/>
          <w:sz w:val="24"/>
          <w:szCs w:val="24"/>
        </w:rPr>
      </w:pPr>
    </w:p>
    <w:p w14:paraId="6EA21B74" w14:textId="77777777" w:rsidR="00B21AD9" w:rsidRDefault="00B21AD9" w:rsidP="00B21AD9">
      <w:pPr>
        <w:spacing w:after="0" w:line="480" w:lineRule="auto"/>
        <w:rPr>
          <w:rFonts w:ascii="Times New Roman" w:hAnsi="Times New Roman" w:cs="Times New Roman"/>
          <w:sz w:val="24"/>
          <w:szCs w:val="24"/>
        </w:rPr>
      </w:pPr>
      <w:proofErr w:type="spellStart"/>
      <w:r w:rsidRPr="00BA799C">
        <w:rPr>
          <w:rFonts w:ascii="Times New Roman" w:hAnsi="Times New Roman" w:cs="Times New Roman"/>
          <w:i/>
          <w:iCs/>
          <w:sz w:val="24"/>
          <w:szCs w:val="24"/>
        </w:rPr>
        <w:lastRenderedPageBreak/>
        <w:t>EquiFrame</w:t>
      </w:r>
      <w:proofErr w:type="spellEnd"/>
      <w:r w:rsidRPr="00BA799C">
        <w:rPr>
          <w:rFonts w:ascii="Times New Roman" w:hAnsi="Times New Roman" w:cs="Times New Roman"/>
          <w:i/>
          <w:iCs/>
          <w:sz w:val="24"/>
          <w:szCs w:val="24"/>
        </w:rPr>
        <w:t xml:space="preserve"> – A framework for the analysis of the inclusion of human rights and vulnerable groups in health policies</w:t>
      </w:r>
    </w:p>
    <w:p w14:paraId="5C042B46" w14:textId="2A2FBC88" w:rsidR="00B21AD9" w:rsidRPr="00BA799C" w:rsidRDefault="00B21AD9" w:rsidP="00B21AD9">
      <w:pPr>
        <w:spacing w:line="480" w:lineRule="auto"/>
        <w:rPr>
          <w:rFonts w:ascii="Times New Roman" w:hAnsi="Times New Roman" w:cs="Times New Roman"/>
          <w:sz w:val="24"/>
          <w:szCs w:val="24"/>
        </w:rPr>
      </w:pPr>
      <w:r w:rsidRPr="00BA799C">
        <w:rPr>
          <w:rFonts w:ascii="Times New Roman" w:hAnsi="Times New Roman" w:cs="Times New Roman"/>
          <w:sz w:val="24"/>
          <w:szCs w:val="24"/>
        </w:rPr>
        <w:t>The overall goal of this framework is to support the enhancement of equity in health care and assess the level of commitment that existing health policies show to core concepts of human rights and various groups, including women and individuals with disabilities</w:t>
      </w:r>
      <w:r w:rsidR="002E5ACB">
        <w:rPr>
          <w:rFonts w:ascii="Times New Roman" w:hAnsi="Times New Roman" w:cs="Times New Roman" w:hint="eastAsia"/>
          <w:sz w:val="24"/>
          <w:szCs w:val="24"/>
          <w:lang w:eastAsia="ko-KR"/>
        </w:rPr>
        <w:t xml:space="preserve"> (</w:t>
      </w:r>
      <w:r w:rsidR="002E5ACB" w:rsidRPr="007C0C08">
        <w:rPr>
          <w:rFonts w:ascii="Times New Roman" w:hAnsi="Times New Roman" w:cs="Times New Roman"/>
        </w:rPr>
        <w:t>Amin,</w:t>
      </w:r>
      <w:r w:rsidR="002E5ACB">
        <w:rPr>
          <w:rFonts w:ascii="Times New Roman" w:hAnsi="Times New Roman" w:cs="Times New Roman" w:hint="eastAsia"/>
          <w:lang w:eastAsia="ko-KR"/>
        </w:rPr>
        <w:t xml:space="preserve"> et al., 2011)</w:t>
      </w:r>
      <w:r w:rsidRPr="00BA799C">
        <w:rPr>
          <w:rFonts w:ascii="Times New Roman" w:hAnsi="Times New Roman" w:cs="Times New Roman"/>
          <w:sz w:val="24"/>
          <w:szCs w:val="24"/>
        </w:rPr>
        <w:t xml:space="preserve">. The development of this framework has been driven by the principle of providing universal, equitable, and accessible health services, which guides United Nation’s call for </w:t>
      </w:r>
      <w:r w:rsidRPr="0051279A">
        <w:rPr>
          <w:rFonts w:ascii="Times New Roman" w:hAnsi="Times New Roman" w:cs="Times New Roman"/>
          <w:iCs/>
          <w:sz w:val="24"/>
          <w:szCs w:val="24"/>
        </w:rPr>
        <w:t>Health in All</w:t>
      </w:r>
      <w:r w:rsidR="002E5ACB">
        <w:rPr>
          <w:rFonts w:ascii="Times New Roman" w:hAnsi="Times New Roman" w:cs="Times New Roman" w:hint="eastAsia"/>
          <w:iCs/>
          <w:sz w:val="24"/>
          <w:szCs w:val="24"/>
          <w:lang w:eastAsia="ko-KR"/>
        </w:rPr>
        <w:t xml:space="preserve"> (</w:t>
      </w:r>
      <w:r w:rsidR="002E5ACB" w:rsidRPr="007C0C08">
        <w:rPr>
          <w:rFonts w:ascii="Times New Roman" w:hAnsi="Times New Roman" w:cs="Times New Roman"/>
        </w:rPr>
        <w:t>Amin,</w:t>
      </w:r>
      <w:r w:rsidR="002E5ACB">
        <w:rPr>
          <w:rFonts w:ascii="Times New Roman" w:hAnsi="Times New Roman" w:cs="Times New Roman" w:hint="eastAsia"/>
          <w:lang w:eastAsia="ko-KR"/>
        </w:rPr>
        <w:t xml:space="preserve"> et al., 2011)</w:t>
      </w:r>
      <w:r>
        <w:rPr>
          <w:rFonts w:ascii="Times New Roman" w:hAnsi="Times New Roman" w:cs="Times New Roman"/>
          <w:i/>
          <w:iCs/>
          <w:sz w:val="24"/>
          <w:szCs w:val="24"/>
        </w:rPr>
        <w:t>.</w:t>
      </w:r>
    </w:p>
    <w:p w14:paraId="26FCF945" w14:textId="7E8744A8" w:rsidR="00B21AD9" w:rsidRPr="00BA799C" w:rsidRDefault="00B21AD9" w:rsidP="00B21AD9">
      <w:pPr>
        <w:spacing w:line="480" w:lineRule="auto"/>
        <w:rPr>
          <w:rFonts w:ascii="Times New Roman" w:hAnsi="Times New Roman" w:cs="Times New Roman"/>
          <w:sz w:val="24"/>
          <w:szCs w:val="24"/>
        </w:rPr>
      </w:pPr>
      <w:r w:rsidRPr="00BA799C">
        <w:rPr>
          <w:rFonts w:ascii="Times New Roman" w:hAnsi="Times New Roman" w:cs="Times New Roman"/>
          <w:i/>
          <w:iCs/>
          <w:sz w:val="24"/>
          <w:szCs w:val="24"/>
        </w:rPr>
        <w:t>Health Equity Impact Assessment Tool.</w:t>
      </w:r>
      <w:r w:rsidRPr="00BA799C">
        <w:rPr>
          <w:rFonts w:ascii="Times New Roman" w:hAnsi="Times New Roman" w:cs="Times New Roman"/>
          <w:sz w:val="24"/>
          <w:szCs w:val="24"/>
        </w:rPr>
        <w:t xml:space="preserve"> This tool is intended to support healthcare and non-healthcare organizations interested in assessing whether policies or other initiatives (e.g., </w:t>
      </w:r>
      <w:r>
        <w:rPr>
          <w:rFonts w:ascii="Times New Roman" w:hAnsi="Times New Roman" w:cs="Times New Roman"/>
          <w:sz w:val="24"/>
          <w:szCs w:val="24"/>
        </w:rPr>
        <w:t xml:space="preserve">projects, </w:t>
      </w:r>
      <w:r w:rsidRPr="00BA799C">
        <w:rPr>
          <w:rFonts w:ascii="Times New Roman" w:hAnsi="Times New Roman" w:cs="Times New Roman"/>
          <w:sz w:val="24"/>
          <w:szCs w:val="24"/>
        </w:rPr>
        <w:t>programs, services</w:t>
      </w:r>
      <w:r>
        <w:rPr>
          <w:rFonts w:ascii="Times New Roman" w:hAnsi="Times New Roman" w:cs="Times New Roman"/>
          <w:sz w:val="24"/>
          <w:szCs w:val="24"/>
        </w:rPr>
        <w:t>, interventions</w:t>
      </w:r>
      <w:r w:rsidRPr="00BA799C">
        <w:rPr>
          <w:rFonts w:ascii="Times New Roman" w:hAnsi="Times New Roman" w:cs="Times New Roman"/>
          <w:sz w:val="24"/>
          <w:szCs w:val="24"/>
        </w:rPr>
        <w:t>) have unintended possible impacts and differential health outcomes for population groups, including women, LGBT2SQ, immigrants, Indigenous, homeless, and low-income populations</w:t>
      </w:r>
      <w:r>
        <w:rPr>
          <w:rFonts w:ascii="Times New Roman" w:hAnsi="Times New Roman" w:cs="Times New Roman"/>
          <w:sz w:val="24"/>
          <w:szCs w:val="24"/>
        </w:rPr>
        <w:t>. While t</w:t>
      </w:r>
      <w:r w:rsidRPr="00BA799C">
        <w:rPr>
          <w:rFonts w:ascii="Times New Roman" w:hAnsi="Times New Roman" w:cs="Times New Roman"/>
          <w:sz w:val="24"/>
          <w:szCs w:val="24"/>
        </w:rPr>
        <w:t>h</w:t>
      </w:r>
      <w:r>
        <w:rPr>
          <w:rFonts w:ascii="Times New Roman" w:hAnsi="Times New Roman" w:cs="Times New Roman"/>
          <w:sz w:val="24"/>
          <w:szCs w:val="24"/>
        </w:rPr>
        <w:t xml:space="preserve">e use of health equity impact assessment tools </w:t>
      </w:r>
      <w:r w:rsidRPr="00BA799C">
        <w:rPr>
          <w:rFonts w:ascii="Times New Roman" w:hAnsi="Times New Roman" w:cs="Times New Roman"/>
          <w:sz w:val="24"/>
          <w:szCs w:val="24"/>
        </w:rPr>
        <w:t xml:space="preserve">has </w:t>
      </w:r>
      <w:r>
        <w:rPr>
          <w:rFonts w:ascii="Times New Roman" w:hAnsi="Times New Roman" w:cs="Times New Roman"/>
          <w:sz w:val="24"/>
          <w:szCs w:val="24"/>
        </w:rPr>
        <w:t xml:space="preserve">increased </w:t>
      </w:r>
      <w:r w:rsidRPr="00BA799C">
        <w:rPr>
          <w:rFonts w:ascii="Times New Roman" w:hAnsi="Times New Roman" w:cs="Times New Roman"/>
          <w:sz w:val="24"/>
          <w:szCs w:val="24"/>
        </w:rPr>
        <w:t xml:space="preserve">in recent decades </w:t>
      </w:r>
      <w:r>
        <w:rPr>
          <w:rFonts w:ascii="Times New Roman" w:hAnsi="Times New Roman" w:cs="Times New Roman"/>
          <w:sz w:val="24"/>
          <w:szCs w:val="24"/>
        </w:rPr>
        <w:t xml:space="preserve">around the world with </w:t>
      </w:r>
      <w:r w:rsidRPr="00BA799C">
        <w:rPr>
          <w:rFonts w:ascii="Times New Roman" w:hAnsi="Times New Roman" w:cs="Times New Roman"/>
          <w:sz w:val="24"/>
          <w:szCs w:val="24"/>
        </w:rPr>
        <w:t xml:space="preserve">slightly different versions </w:t>
      </w:r>
      <w:r>
        <w:rPr>
          <w:rFonts w:ascii="Times New Roman" w:hAnsi="Times New Roman" w:cs="Times New Roman"/>
          <w:sz w:val="24"/>
          <w:szCs w:val="24"/>
        </w:rPr>
        <w:t>of the tool being used in different countries</w:t>
      </w:r>
      <w:r w:rsidR="00D42279">
        <w:rPr>
          <w:rFonts w:ascii="Times New Roman" w:hAnsi="Times New Roman" w:cs="Times New Roman"/>
          <w:sz w:val="24"/>
          <w:szCs w:val="24"/>
        </w:rPr>
        <w:t xml:space="preserve"> and contexts</w:t>
      </w:r>
      <w:r w:rsidR="00F35D1A">
        <w:rPr>
          <w:rFonts w:ascii="Times New Roman" w:hAnsi="Times New Roman" w:cs="Times New Roman" w:hint="eastAsia"/>
          <w:sz w:val="24"/>
          <w:szCs w:val="24"/>
          <w:lang w:eastAsia="ko-KR"/>
        </w:rPr>
        <w:t xml:space="preserve"> (</w:t>
      </w:r>
      <w:r w:rsidR="00F35D1A" w:rsidRPr="00DD31E8">
        <w:rPr>
          <w:rFonts w:ascii="Times New Roman" w:hAnsi="Times New Roman" w:cs="Times New Roman"/>
        </w:rPr>
        <w:t>Equity Lens in Public Health</w:t>
      </w:r>
      <w:r w:rsidR="00F35D1A">
        <w:rPr>
          <w:rFonts w:ascii="Times New Roman" w:hAnsi="Times New Roman" w:cs="Times New Roman" w:hint="eastAsia"/>
          <w:lang w:eastAsia="ko-KR"/>
        </w:rPr>
        <w:t xml:space="preserve">, </w:t>
      </w:r>
      <w:r w:rsidR="00F35D1A" w:rsidRPr="00DD31E8">
        <w:rPr>
          <w:rFonts w:ascii="Times New Roman" w:hAnsi="Times New Roman" w:cs="Times New Roman"/>
        </w:rPr>
        <w:t>2016</w:t>
      </w:r>
      <w:r w:rsidR="00F35D1A">
        <w:rPr>
          <w:rFonts w:ascii="Times New Roman" w:hAnsi="Times New Roman" w:cs="Times New Roman" w:hint="eastAsia"/>
          <w:lang w:eastAsia="ko-KR"/>
        </w:rPr>
        <w:t xml:space="preserve">; </w:t>
      </w:r>
      <w:r w:rsidR="00F35D1A" w:rsidRPr="007C0C08">
        <w:rPr>
          <w:rFonts w:ascii="Times New Roman" w:hAnsi="Times New Roman" w:cs="Times New Roman"/>
        </w:rPr>
        <w:t>Harris</w:t>
      </w:r>
      <w:r w:rsidR="00F35D1A">
        <w:rPr>
          <w:rFonts w:ascii="Times New Roman" w:hAnsi="Times New Roman" w:cs="Times New Roman" w:hint="eastAsia"/>
          <w:lang w:eastAsia="ko-KR"/>
        </w:rPr>
        <w:t xml:space="preserve"> et al., 2007; </w:t>
      </w:r>
      <w:r w:rsidR="00F35D1A" w:rsidRPr="007C0C08">
        <w:rPr>
          <w:rFonts w:ascii="Times New Roman" w:hAnsi="Times New Roman" w:cs="Times New Roman"/>
        </w:rPr>
        <w:t>Mahoney</w:t>
      </w:r>
      <w:r w:rsidR="00F35D1A">
        <w:rPr>
          <w:rFonts w:ascii="Times New Roman" w:hAnsi="Times New Roman" w:cs="Times New Roman" w:hint="eastAsia"/>
          <w:lang w:eastAsia="ko-KR"/>
        </w:rPr>
        <w:t xml:space="preserve"> et al., 2004; </w:t>
      </w:r>
      <w:r w:rsidR="00F35D1A">
        <w:rPr>
          <w:rFonts w:ascii="Times New Roman" w:hAnsi="Times New Roman" w:cs="Times New Roman" w:hint="eastAsia"/>
          <w:lang w:eastAsia="ko-KR"/>
        </w:rPr>
        <w:t>OMHLTC</w:t>
      </w:r>
      <w:r w:rsidR="00F35D1A">
        <w:rPr>
          <w:rFonts w:ascii="Times New Roman" w:hAnsi="Times New Roman" w:cs="Times New Roman" w:hint="eastAsia"/>
          <w:lang w:eastAsia="ko-KR"/>
        </w:rPr>
        <w:t>, 2012; WHO, 2012)</w:t>
      </w:r>
      <w:r>
        <w:rPr>
          <w:rFonts w:ascii="Times New Roman" w:hAnsi="Times New Roman" w:cs="Times New Roman"/>
          <w:sz w:val="24"/>
          <w:szCs w:val="24"/>
        </w:rPr>
        <w:t>, for the purpose of this analysis, we focused solely on the Canadian version of this tool</w:t>
      </w:r>
      <w:r w:rsidR="00B913E4">
        <w:rPr>
          <w:rFonts w:ascii="Times New Roman" w:hAnsi="Times New Roman" w:cs="Times New Roman" w:hint="eastAsia"/>
          <w:sz w:val="24"/>
          <w:szCs w:val="24"/>
          <w:lang w:eastAsia="ko-KR"/>
        </w:rPr>
        <w:t xml:space="preserve"> (</w:t>
      </w:r>
      <w:r w:rsidR="00B913E4" w:rsidRPr="00DD31E8">
        <w:rPr>
          <w:rFonts w:ascii="Times New Roman" w:hAnsi="Times New Roman" w:cs="Times New Roman"/>
        </w:rPr>
        <w:t>Equity Lens in Public Health</w:t>
      </w:r>
      <w:r w:rsidR="00B913E4">
        <w:rPr>
          <w:rFonts w:ascii="Times New Roman" w:hAnsi="Times New Roman" w:cs="Times New Roman" w:hint="eastAsia"/>
          <w:lang w:eastAsia="ko-KR"/>
        </w:rPr>
        <w:t xml:space="preserve">, </w:t>
      </w:r>
      <w:r w:rsidR="00B913E4" w:rsidRPr="00DD31E8">
        <w:rPr>
          <w:rFonts w:ascii="Times New Roman" w:hAnsi="Times New Roman" w:cs="Times New Roman"/>
        </w:rPr>
        <w:t>2016</w:t>
      </w:r>
      <w:r w:rsidR="00B913E4">
        <w:rPr>
          <w:rFonts w:ascii="Times New Roman" w:hAnsi="Times New Roman" w:cs="Times New Roman" w:hint="eastAsia"/>
          <w:lang w:eastAsia="ko-KR"/>
        </w:rPr>
        <w:t>)</w:t>
      </w:r>
      <w:r>
        <w:rPr>
          <w:rFonts w:ascii="Times New Roman" w:hAnsi="Times New Roman" w:cs="Times New Roman"/>
          <w:sz w:val="24"/>
          <w:szCs w:val="24"/>
        </w:rPr>
        <w:t>.</w:t>
      </w:r>
      <w:bookmarkStart w:id="1" w:name="_Hlk139390474"/>
      <w:r w:rsidR="00B913E4" w:rsidRPr="00BA799C">
        <w:rPr>
          <w:rFonts w:ascii="Times New Roman" w:hAnsi="Times New Roman" w:cs="Times New Roman"/>
          <w:sz w:val="24"/>
          <w:szCs w:val="24"/>
        </w:rPr>
        <w:t xml:space="preserve"> </w:t>
      </w:r>
    </w:p>
    <w:bookmarkEnd w:id="1"/>
    <w:p w14:paraId="51F38190" w14:textId="77777777" w:rsidR="00B21AD9" w:rsidRPr="00B21AD9" w:rsidRDefault="00B21AD9">
      <w:pPr>
        <w:rPr>
          <w:rFonts w:ascii="Times New Roman" w:hAnsi="Times New Roman" w:cs="Times New Roman"/>
          <w:b/>
          <w:sz w:val="24"/>
          <w:szCs w:val="24"/>
          <w:lang w:val="en-CA"/>
        </w:rPr>
      </w:pPr>
      <w:r w:rsidRPr="00B21AD9">
        <w:rPr>
          <w:rFonts w:ascii="Times New Roman" w:hAnsi="Times New Roman" w:cs="Times New Roman"/>
          <w:b/>
          <w:sz w:val="24"/>
          <w:szCs w:val="24"/>
          <w:lang w:val="en-CA"/>
        </w:rPr>
        <w:t>References</w:t>
      </w:r>
    </w:p>
    <w:p w14:paraId="66D2264F" w14:textId="77777777" w:rsidR="00DD31E8" w:rsidRPr="00F35D1A" w:rsidRDefault="00DD31E8" w:rsidP="00DD31E8">
      <w:pPr>
        <w:spacing w:line="278" w:lineRule="auto"/>
        <w:ind w:left="720" w:hanging="720"/>
        <w:rPr>
          <w:rFonts w:ascii="Times New Roman" w:hAnsi="Times New Roman" w:cs="Times New Roman"/>
        </w:rPr>
      </w:pPr>
      <w:r w:rsidRPr="00F35D1A">
        <w:rPr>
          <w:rFonts w:ascii="Times New Roman" w:hAnsi="Times New Roman" w:cs="Times New Roman"/>
        </w:rPr>
        <w:t xml:space="preserve">Amin, M., MacLachlan, M., Mannan, H., El Tayeb, S., El </w:t>
      </w:r>
      <w:proofErr w:type="spellStart"/>
      <w:r w:rsidRPr="00F35D1A">
        <w:rPr>
          <w:rFonts w:ascii="Times New Roman" w:hAnsi="Times New Roman" w:cs="Times New Roman"/>
        </w:rPr>
        <w:t>Khatim</w:t>
      </w:r>
      <w:proofErr w:type="spellEnd"/>
      <w:r w:rsidRPr="00F35D1A">
        <w:rPr>
          <w:rFonts w:ascii="Times New Roman" w:hAnsi="Times New Roman" w:cs="Times New Roman"/>
        </w:rPr>
        <w:t xml:space="preserve">, A., Swartz, L., … Schneider, M. (2011). </w:t>
      </w:r>
      <w:proofErr w:type="spellStart"/>
      <w:r w:rsidRPr="00F35D1A">
        <w:rPr>
          <w:rFonts w:ascii="Times New Roman" w:hAnsi="Times New Roman" w:cs="Times New Roman"/>
        </w:rPr>
        <w:t>EquiFrame</w:t>
      </w:r>
      <w:proofErr w:type="spellEnd"/>
      <w:r w:rsidRPr="00F35D1A">
        <w:rPr>
          <w:rFonts w:ascii="Times New Roman" w:hAnsi="Times New Roman" w:cs="Times New Roman"/>
        </w:rPr>
        <w:t xml:space="preserve">: A framework for analysis of the inclusion of human rights and vulnerable groups in health policies. </w:t>
      </w:r>
      <w:r w:rsidRPr="00F35D1A">
        <w:rPr>
          <w:rFonts w:ascii="Times New Roman" w:hAnsi="Times New Roman" w:cs="Times New Roman"/>
          <w:i/>
          <w:iCs/>
        </w:rPr>
        <w:t>Health and Human Rights, 13</w:t>
      </w:r>
      <w:r w:rsidRPr="00F35D1A">
        <w:rPr>
          <w:rFonts w:ascii="Times New Roman" w:hAnsi="Times New Roman" w:cs="Times New Roman"/>
        </w:rPr>
        <w:t>, 82.</w:t>
      </w:r>
    </w:p>
    <w:p w14:paraId="4A1BC71C" w14:textId="684E6C57" w:rsidR="00DD31E8" w:rsidRPr="00F35D1A" w:rsidRDefault="00DD31E8" w:rsidP="00DD31E8">
      <w:pPr>
        <w:spacing w:line="278" w:lineRule="auto"/>
        <w:ind w:left="720" w:hanging="720"/>
        <w:rPr>
          <w:rFonts w:ascii="Times New Roman" w:hAnsi="Times New Roman" w:cs="Times New Roman"/>
        </w:rPr>
      </w:pPr>
      <w:r w:rsidRPr="00F35D1A">
        <w:rPr>
          <w:rFonts w:ascii="Times New Roman" w:hAnsi="Times New Roman" w:cs="Times New Roman"/>
        </w:rPr>
        <w:t xml:space="preserve">Equity Lens in Public Health. (2016). </w:t>
      </w:r>
      <w:r w:rsidRPr="00F35D1A">
        <w:rPr>
          <w:rFonts w:ascii="Times New Roman" w:hAnsi="Times New Roman" w:cs="Times New Roman"/>
          <w:i/>
          <w:iCs/>
        </w:rPr>
        <w:t>Health equity tools inventory 2.0</w:t>
      </w:r>
      <w:r w:rsidRPr="00F35D1A">
        <w:rPr>
          <w:rFonts w:ascii="Times New Roman" w:hAnsi="Times New Roman" w:cs="Times New Roman"/>
        </w:rPr>
        <w:t xml:space="preserve">. University of Victoria. </w:t>
      </w:r>
      <w:hyperlink r:id="rId9" w:tgtFrame="_new" w:history="1">
        <w:r w:rsidRPr="00F35D1A">
          <w:rPr>
            <w:rStyle w:val="Hyperlink"/>
            <w:rFonts w:ascii="Times New Roman" w:hAnsi="Times New Roman" w:cs="Times New Roman"/>
          </w:rPr>
          <w:t>https://www.uvic.ca/research/projects/elph/assets/docs/Health%20Equity%20Tools%20Inventory%202.0.pdf</w:t>
        </w:r>
      </w:hyperlink>
    </w:p>
    <w:p w14:paraId="455A7613" w14:textId="77777777" w:rsidR="00DD31E8" w:rsidRPr="00F35D1A" w:rsidRDefault="00DD31E8" w:rsidP="00DD31E8">
      <w:pPr>
        <w:spacing w:line="278" w:lineRule="auto"/>
        <w:ind w:left="720" w:hanging="720"/>
        <w:rPr>
          <w:rFonts w:ascii="Times New Roman" w:hAnsi="Times New Roman" w:cs="Times New Roman"/>
        </w:rPr>
      </w:pPr>
      <w:r w:rsidRPr="00F35D1A">
        <w:rPr>
          <w:rFonts w:ascii="Times New Roman" w:hAnsi="Times New Roman" w:cs="Times New Roman"/>
        </w:rPr>
        <w:t xml:space="preserve">Harris, P., Harris-Roxas, B., Harris, E., &amp; Kemp, L. (2007). </w:t>
      </w:r>
      <w:r w:rsidRPr="00F35D1A">
        <w:rPr>
          <w:rFonts w:ascii="Times New Roman" w:hAnsi="Times New Roman" w:cs="Times New Roman"/>
          <w:i/>
          <w:iCs/>
        </w:rPr>
        <w:t>Health impact assessment: A practical guide</w:t>
      </w:r>
      <w:r w:rsidRPr="00F35D1A">
        <w:rPr>
          <w:rFonts w:ascii="Times New Roman" w:hAnsi="Times New Roman" w:cs="Times New Roman"/>
        </w:rPr>
        <w:t>. UNSW Research Centre for Primary Health Care and Equity &amp; NSW Health.</w:t>
      </w:r>
    </w:p>
    <w:p w14:paraId="24CA556D" w14:textId="77777777" w:rsidR="00DD31E8" w:rsidRPr="00F35D1A" w:rsidRDefault="00DD31E8" w:rsidP="00DD31E8">
      <w:pPr>
        <w:spacing w:line="278" w:lineRule="auto"/>
        <w:ind w:left="720" w:hanging="720"/>
        <w:rPr>
          <w:rFonts w:ascii="Times New Roman" w:hAnsi="Times New Roman" w:cs="Times New Roman"/>
        </w:rPr>
      </w:pPr>
      <w:r w:rsidRPr="00F35D1A">
        <w:rPr>
          <w:rFonts w:ascii="Times New Roman" w:hAnsi="Times New Roman" w:cs="Times New Roman"/>
        </w:rPr>
        <w:lastRenderedPageBreak/>
        <w:t xml:space="preserve">Hankivsky, O. (Ed.). (2012). </w:t>
      </w:r>
      <w:r w:rsidRPr="00F35D1A">
        <w:rPr>
          <w:rFonts w:ascii="Times New Roman" w:hAnsi="Times New Roman" w:cs="Times New Roman"/>
          <w:i/>
          <w:iCs/>
        </w:rPr>
        <w:t>An intersectionality-based policy analysis framework</w:t>
      </w:r>
      <w:r w:rsidRPr="00F35D1A">
        <w:rPr>
          <w:rFonts w:ascii="Times New Roman" w:hAnsi="Times New Roman" w:cs="Times New Roman"/>
        </w:rPr>
        <w:t>. Simon Fraser University.</w:t>
      </w:r>
    </w:p>
    <w:p w14:paraId="227D4FAB" w14:textId="77777777" w:rsidR="00DD31E8" w:rsidRPr="00F35D1A" w:rsidRDefault="00DD31E8" w:rsidP="00DD31E8">
      <w:pPr>
        <w:spacing w:line="278" w:lineRule="auto"/>
        <w:ind w:left="720" w:hanging="720"/>
      </w:pPr>
      <w:r w:rsidRPr="00F35D1A">
        <w:rPr>
          <w:rFonts w:ascii="Times New Roman" w:hAnsi="Times New Roman" w:cs="Times New Roman"/>
        </w:rPr>
        <w:t xml:space="preserve">Keleher, H. (2013). Policy scorecard for gender mainstreaming: Gender equity in health policy. </w:t>
      </w:r>
      <w:r w:rsidRPr="00F35D1A">
        <w:rPr>
          <w:rFonts w:ascii="Times New Roman" w:hAnsi="Times New Roman" w:cs="Times New Roman"/>
          <w:i/>
          <w:iCs/>
        </w:rPr>
        <w:t>Australian and New Zealand Journal of Public Health, 37</w:t>
      </w:r>
      <w:r w:rsidRPr="00F35D1A">
        <w:rPr>
          <w:rFonts w:ascii="Times New Roman" w:hAnsi="Times New Roman" w:cs="Times New Roman"/>
        </w:rPr>
        <w:t xml:space="preserve">(2), 111–117. </w:t>
      </w:r>
      <w:hyperlink r:id="rId10" w:history="1">
        <w:r w:rsidRPr="00F35D1A">
          <w:rPr>
            <w:rStyle w:val="Hyperlink"/>
            <w:rFonts w:ascii="Times New Roman" w:hAnsi="Times New Roman" w:cs="Times New Roman"/>
          </w:rPr>
          <w:t>https://doi.org/10.1111/1753-6405.12027</w:t>
        </w:r>
      </w:hyperlink>
    </w:p>
    <w:p w14:paraId="24951C1E" w14:textId="77777777" w:rsidR="00DD31E8" w:rsidRPr="00F35D1A" w:rsidRDefault="00DD31E8" w:rsidP="00DD31E8">
      <w:pPr>
        <w:spacing w:line="278" w:lineRule="auto"/>
        <w:ind w:left="720" w:hanging="720"/>
        <w:rPr>
          <w:rFonts w:ascii="Times New Roman" w:hAnsi="Times New Roman" w:cs="Times New Roman"/>
        </w:rPr>
      </w:pPr>
      <w:r w:rsidRPr="00F35D1A">
        <w:rPr>
          <w:rFonts w:ascii="Times New Roman" w:hAnsi="Times New Roman" w:cs="Times New Roman"/>
        </w:rPr>
        <w:t xml:space="preserve">Mahoney, M., Simpson, S., Harris, E., Aldrich, R., &amp; Stewart Williams, J. (2004). </w:t>
      </w:r>
      <w:r w:rsidRPr="00F35D1A">
        <w:rPr>
          <w:rFonts w:ascii="Times New Roman" w:hAnsi="Times New Roman" w:cs="Times New Roman"/>
          <w:i/>
          <w:iCs/>
        </w:rPr>
        <w:t>Equity-focused health impact assessment framework</w:t>
      </w:r>
      <w:r w:rsidRPr="00F35D1A">
        <w:rPr>
          <w:rFonts w:ascii="Times New Roman" w:hAnsi="Times New Roman" w:cs="Times New Roman"/>
        </w:rPr>
        <w:t xml:space="preserve">. Australasian Collaboration for Health Equity Impact Assessment. </w:t>
      </w:r>
      <w:hyperlink r:id="rId11" w:history="1">
        <w:r w:rsidRPr="00F35D1A">
          <w:rPr>
            <w:rStyle w:val="Hyperlink"/>
            <w:rFonts w:ascii="Times New Roman" w:hAnsi="Times New Roman" w:cs="Times New Roman"/>
          </w:rPr>
          <w:t>https://unsworks.unsw.edu.au/entities/publication/e0b09ac6-3930-428c-8d1c-ffcb6ca580ed</w:t>
        </w:r>
      </w:hyperlink>
    </w:p>
    <w:p w14:paraId="6569532E" w14:textId="77777777" w:rsidR="00DD31E8" w:rsidRPr="00F35D1A" w:rsidRDefault="00DD31E8" w:rsidP="00DD31E8">
      <w:pPr>
        <w:spacing w:line="278" w:lineRule="auto"/>
        <w:ind w:left="720" w:hanging="720"/>
        <w:rPr>
          <w:rFonts w:ascii="Times New Roman" w:hAnsi="Times New Roman" w:cs="Times New Roman"/>
        </w:rPr>
      </w:pPr>
      <w:r w:rsidRPr="00F35D1A">
        <w:rPr>
          <w:rFonts w:ascii="Times New Roman" w:hAnsi="Times New Roman" w:cs="Times New Roman"/>
        </w:rPr>
        <w:t xml:space="preserve">McPhail, B. A. (2003). A feminist policy analysis framework: Through a gendered lens. </w:t>
      </w:r>
      <w:r w:rsidRPr="00F35D1A">
        <w:rPr>
          <w:rFonts w:ascii="Times New Roman" w:hAnsi="Times New Roman" w:cs="Times New Roman"/>
          <w:i/>
          <w:iCs/>
        </w:rPr>
        <w:t>The Social Policy Journal, 2</w:t>
      </w:r>
      <w:r w:rsidRPr="00F35D1A">
        <w:rPr>
          <w:rFonts w:ascii="Times New Roman" w:hAnsi="Times New Roman" w:cs="Times New Roman"/>
        </w:rPr>
        <w:t xml:space="preserve">(2–3), 39–61. </w:t>
      </w:r>
      <w:hyperlink r:id="rId12" w:history="1">
        <w:r w:rsidRPr="00F35D1A">
          <w:rPr>
            <w:rStyle w:val="Hyperlink"/>
            <w:rFonts w:ascii="Times New Roman" w:hAnsi="Times New Roman" w:cs="Times New Roman"/>
          </w:rPr>
          <w:t>https://doi.org/10.1300/J185v02n02_04</w:t>
        </w:r>
      </w:hyperlink>
    </w:p>
    <w:p w14:paraId="2AB964EF" w14:textId="5D2CFFF1" w:rsidR="00DD31E8" w:rsidRPr="00F35D1A" w:rsidRDefault="00DD31E8" w:rsidP="00DD31E8">
      <w:pPr>
        <w:spacing w:line="278" w:lineRule="auto"/>
        <w:ind w:left="720" w:hanging="720"/>
        <w:rPr>
          <w:rFonts w:ascii="Times New Roman" w:hAnsi="Times New Roman" w:cs="Times New Roman"/>
        </w:rPr>
      </w:pPr>
      <w:r w:rsidRPr="00F35D1A">
        <w:rPr>
          <w:rFonts w:ascii="Times New Roman" w:hAnsi="Times New Roman" w:cs="Times New Roman"/>
        </w:rPr>
        <w:t>Ontario Ministry of Health and Long-Term Care</w:t>
      </w:r>
      <w:r w:rsidR="009F59CE" w:rsidRPr="00F35D1A">
        <w:rPr>
          <w:rFonts w:ascii="Times New Roman" w:hAnsi="Times New Roman" w:cs="Times New Roman" w:hint="eastAsia"/>
          <w:lang w:eastAsia="ko-KR"/>
        </w:rPr>
        <w:t xml:space="preserve"> [OMHLTC]</w:t>
      </w:r>
      <w:r w:rsidRPr="00F35D1A">
        <w:rPr>
          <w:rFonts w:ascii="Times New Roman" w:hAnsi="Times New Roman" w:cs="Times New Roman"/>
        </w:rPr>
        <w:t xml:space="preserve">. (2012). </w:t>
      </w:r>
      <w:r w:rsidRPr="00F35D1A">
        <w:rPr>
          <w:rFonts w:ascii="Times New Roman" w:hAnsi="Times New Roman" w:cs="Times New Roman"/>
          <w:i/>
          <w:iCs/>
        </w:rPr>
        <w:t>Health equity impact assessment (HEIA)</w:t>
      </w:r>
      <w:r w:rsidRPr="00F35D1A">
        <w:rPr>
          <w:rFonts w:ascii="Times New Roman" w:hAnsi="Times New Roman" w:cs="Times New Roman"/>
        </w:rPr>
        <w:t xml:space="preserve">. </w:t>
      </w:r>
      <w:hyperlink r:id="rId13" w:history="1">
        <w:r w:rsidRPr="00F35D1A">
          <w:rPr>
            <w:rStyle w:val="Hyperlink"/>
            <w:rFonts w:ascii="Times New Roman" w:hAnsi="Times New Roman" w:cs="Times New Roman"/>
          </w:rPr>
          <w:t>https://www.health.gov.on.ca/en/pro/programs/heia/tool.aspx</w:t>
        </w:r>
      </w:hyperlink>
    </w:p>
    <w:p w14:paraId="407D5045" w14:textId="5791F889" w:rsidR="00DD31E8" w:rsidRPr="00DD31E8" w:rsidRDefault="00DD31E8" w:rsidP="00B21AD9">
      <w:pPr>
        <w:ind w:left="284" w:hanging="284"/>
        <w:rPr>
          <w:rFonts w:ascii="Times New Roman" w:hAnsi="Times New Roman" w:cs="Times New Roman"/>
          <w:lang w:eastAsia="ko-KR"/>
        </w:rPr>
      </w:pPr>
      <w:r w:rsidRPr="00F35D1A">
        <w:rPr>
          <w:rFonts w:ascii="Times New Roman" w:hAnsi="Times New Roman" w:cs="Times New Roman"/>
          <w:lang w:eastAsia="ko-KR"/>
        </w:rPr>
        <w:t>World Health Organization</w:t>
      </w:r>
      <w:r w:rsidR="009F59CE" w:rsidRPr="00F35D1A">
        <w:rPr>
          <w:rFonts w:ascii="Times New Roman" w:hAnsi="Times New Roman" w:cs="Times New Roman" w:hint="eastAsia"/>
          <w:lang w:eastAsia="ko-KR"/>
        </w:rPr>
        <w:t xml:space="preserve"> [WHO]</w:t>
      </w:r>
      <w:r w:rsidRPr="00F35D1A">
        <w:rPr>
          <w:rFonts w:ascii="Times New Roman" w:hAnsi="Times New Roman" w:cs="Times New Roman"/>
          <w:lang w:eastAsia="ko-KR"/>
        </w:rPr>
        <w:t xml:space="preserve">. (2023, April 19). </w:t>
      </w:r>
      <w:r w:rsidRPr="00F35D1A">
        <w:rPr>
          <w:rFonts w:ascii="Times New Roman" w:hAnsi="Times New Roman" w:cs="Times New Roman"/>
          <w:i/>
          <w:iCs/>
          <w:lang w:eastAsia="ko-KR"/>
        </w:rPr>
        <w:t>Health equity assessment toolkit (HEAT and HEAT Plus)</w:t>
      </w:r>
      <w:r w:rsidRPr="00F35D1A">
        <w:rPr>
          <w:rFonts w:ascii="Times New Roman" w:hAnsi="Times New Roman" w:cs="Times New Roman"/>
          <w:lang w:eastAsia="ko-KR"/>
        </w:rPr>
        <w:t xml:space="preserve">. </w:t>
      </w:r>
      <w:hyperlink r:id="rId14" w:tgtFrame="_new" w:history="1">
        <w:r w:rsidRPr="00F35D1A">
          <w:rPr>
            <w:rStyle w:val="Hyperlink"/>
            <w:rFonts w:ascii="Times New Roman" w:hAnsi="Times New Roman" w:cs="Times New Roman"/>
            <w:lang w:eastAsia="ko-KR"/>
          </w:rPr>
          <w:t>https://www.who.int/data/inequality-monitor/assessment_toolkit</w:t>
        </w:r>
      </w:hyperlink>
    </w:p>
    <w:sectPr w:rsidR="00DD31E8" w:rsidRPr="00DD31E8">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909D" w14:textId="77777777" w:rsidR="00016693" w:rsidRDefault="00016693" w:rsidP="00B21AD9">
      <w:pPr>
        <w:spacing w:after="0" w:line="240" w:lineRule="auto"/>
      </w:pPr>
      <w:r>
        <w:separator/>
      </w:r>
    </w:p>
  </w:endnote>
  <w:endnote w:type="continuationSeparator" w:id="0">
    <w:p w14:paraId="3E77A60B" w14:textId="77777777" w:rsidR="00016693" w:rsidRDefault="00016693" w:rsidP="00B2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6B86" w14:textId="77777777" w:rsidR="00B21AD9" w:rsidRDefault="00B21AD9">
    <w:pPr>
      <w:pStyle w:val="EndNoteBibliograph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1D69" w14:textId="77777777" w:rsidR="00016693" w:rsidRDefault="00016693" w:rsidP="00B21AD9">
      <w:pPr>
        <w:spacing w:after="0" w:line="240" w:lineRule="auto"/>
      </w:pPr>
      <w:r>
        <w:separator/>
      </w:r>
    </w:p>
  </w:footnote>
  <w:footnote w:type="continuationSeparator" w:id="0">
    <w:p w14:paraId="1CE5F3A6" w14:textId="77777777" w:rsidR="00016693" w:rsidRDefault="00016693" w:rsidP="00B21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21AD9"/>
    <w:rsid w:val="00016693"/>
    <w:rsid w:val="001B1252"/>
    <w:rsid w:val="00200DF2"/>
    <w:rsid w:val="002E1CC8"/>
    <w:rsid w:val="002E5ACB"/>
    <w:rsid w:val="003F408E"/>
    <w:rsid w:val="00490745"/>
    <w:rsid w:val="00565FE0"/>
    <w:rsid w:val="0061636C"/>
    <w:rsid w:val="006F7ABD"/>
    <w:rsid w:val="009F59CE"/>
    <w:rsid w:val="00B21AD9"/>
    <w:rsid w:val="00B913E4"/>
    <w:rsid w:val="00C71E1E"/>
    <w:rsid w:val="00D42279"/>
    <w:rsid w:val="00DD31E8"/>
    <w:rsid w:val="00E7204D"/>
    <w:rsid w:val="00F35D1A"/>
    <w:rsid w:val="00FE348C"/>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2F6C"/>
  <w15:chartTrackingRefBased/>
  <w15:docId w15:val="{D6EF48B3-281A-4A2C-989C-0DE8A422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21AD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21AD9"/>
    <w:rPr>
      <w:rFonts w:ascii="Calibri" w:hAnsi="Calibri" w:cs="Calibri"/>
      <w:noProof/>
      <w:lang w:val="en-US"/>
    </w:rPr>
  </w:style>
  <w:style w:type="paragraph" w:customStyle="1" w:styleId="EndNoteBibliography">
    <w:name w:val="EndNote Bibliography"/>
    <w:basedOn w:val="Normal"/>
    <w:link w:val="EndNoteBibliographyChar"/>
    <w:rsid w:val="00B21AD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21AD9"/>
    <w:rPr>
      <w:rFonts w:ascii="Calibri" w:hAnsi="Calibri" w:cs="Calibri"/>
      <w:noProof/>
      <w:lang w:val="en-US"/>
    </w:rPr>
  </w:style>
  <w:style w:type="character" w:styleId="Hyperlink">
    <w:name w:val="Hyperlink"/>
    <w:basedOn w:val="DefaultParagraphFont"/>
    <w:uiPriority w:val="99"/>
    <w:unhideWhenUsed/>
    <w:rsid w:val="00B21AD9"/>
    <w:rPr>
      <w:color w:val="0563C1" w:themeColor="hyperlink"/>
      <w:u w:val="single"/>
    </w:rPr>
  </w:style>
  <w:style w:type="character" w:styleId="UnresolvedMention">
    <w:name w:val="Unresolved Mention"/>
    <w:basedOn w:val="DefaultParagraphFont"/>
    <w:uiPriority w:val="99"/>
    <w:semiHidden/>
    <w:unhideWhenUsed/>
    <w:rsid w:val="00B21AD9"/>
    <w:rPr>
      <w:color w:val="605E5C"/>
      <w:shd w:val="clear" w:color="auto" w:fill="E1DFDD"/>
    </w:rPr>
  </w:style>
  <w:style w:type="character" w:styleId="FollowedHyperlink">
    <w:name w:val="FollowedHyperlink"/>
    <w:basedOn w:val="DefaultParagraphFont"/>
    <w:uiPriority w:val="99"/>
    <w:semiHidden/>
    <w:unhideWhenUsed/>
    <w:rsid w:val="00DD3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gov.on.ca/en/pro/programs/heia/tool.aspx"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oi.org/10.1300/J185v02n02_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sworks.unsw.edu.au/entities/publication/e0b09ac6-3930-428c-8d1c-ffcb6ca580e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111/1753-6405.12027" TargetMode="External"/><Relationship Id="rId4" Type="http://schemas.openxmlformats.org/officeDocument/2006/relationships/styles" Target="styles.xml"/><Relationship Id="rId9" Type="http://schemas.openxmlformats.org/officeDocument/2006/relationships/hyperlink" Target="https://www.uvic.ca/research/projects/elph/assets/docs/Health%20Equity%20Tools%20Inventory%202.0.pdf" TargetMode="External"/><Relationship Id="rId14" Type="http://schemas.openxmlformats.org/officeDocument/2006/relationships/hyperlink" Target="https://www.who.int/data/inequality-monitor/assessment_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52067a-6605-47ef-a709-a26f0bd312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079926C5713439FA86A9B30DE7377" ma:contentTypeVersion="16" ma:contentTypeDescription="Create a new document." ma:contentTypeScope="" ma:versionID="0d4e559ced3d302dfcf8291287c43c68">
  <xsd:schema xmlns:xsd="http://www.w3.org/2001/XMLSchema" xmlns:xs="http://www.w3.org/2001/XMLSchema" xmlns:p="http://schemas.microsoft.com/office/2006/metadata/properties" xmlns:ns3="8d52067a-6605-47ef-a709-a26f0bd3122d" xmlns:ns4="d8f27151-4f91-47c0-bf14-b616d43e5b2f" targetNamespace="http://schemas.microsoft.com/office/2006/metadata/properties" ma:root="true" ma:fieldsID="99a10d98730fd15b180e30569ee435a1" ns3:_="" ns4:_="">
    <xsd:import namespace="8d52067a-6605-47ef-a709-a26f0bd3122d"/>
    <xsd:import namespace="d8f27151-4f91-47c0-bf14-b616d43e5b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2067a-6605-47ef-a709-a26f0bd31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f27151-4f91-47c0-bf14-b616d43e5b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77AA6-D7B1-4155-81CC-45E6830F2C85}">
  <ds:schemaRefs>
    <ds:schemaRef ds:uri="http://schemas.microsoft.com/office/2006/metadata/properties"/>
    <ds:schemaRef ds:uri="http://schemas.microsoft.com/office/infopath/2007/PartnerControls"/>
    <ds:schemaRef ds:uri="8d52067a-6605-47ef-a709-a26f0bd3122d"/>
  </ds:schemaRefs>
</ds:datastoreItem>
</file>

<file path=customXml/itemProps2.xml><?xml version="1.0" encoding="utf-8"?>
<ds:datastoreItem xmlns:ds="http://schemas.openxmlformats.org/officeDocument/2006/customXml" ds:itemID="{A5580B4F-4290-48C7-8D43-B3FA0ABE70A6}">
  <ds:schemaRefs>
    <ds:schemaRef ds:uri="http://schemas.microsoft.com/sharepoint/v3/contenttype/forms"/>
  </ds:schemaRefs>
</ds:datastoreItem>
</file>

<file path=customXml/itemProps3.xml><?xml version="1.0" encoding="utf-8"?>
<ds:datastoreItem xmlns:ds="http://schemas.openxmlformats.org/officeDocument/2006/customXml" ds:itemID="{C6CA94C3-F310-4F57-9E19-9DADCC028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2067a-6605-47ef-a709-a26f0bd3122d"/>
    <ds:schemaRef ds:uri="d8f27151-4f91-47c0-bf14-b616d43e5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714</Words>
  <Characters>4675</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Gunn</dc:creator>
  <cp:keywords/>
  <dc:description/>
  <cp:lastModifiedBy>김근아</cp:lastModifiedBy>
  <cp:revision>15</cp:revision>
  <dcterms:created xsi:type="dcterms:W3CDTF">2026-03-22T17:54:00Z</dcterms:created>
  <dcterms:modified xsi:type="dcterms:W3CDTF">2026-04-03T07:26:00Z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0x010100FE3079926C5713439FA86A9B30DE7377</vt:lpwstr>
  </property>
</Properties>
</file>