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8F80" w14:textId="1BD989F7" w:rsidR="00A93C0A" w:rsidRDefault="00A93C0A" w:rsidP="00800B6A">
      <w:pPr>
        <w:spacing w:before="240" w:line="240" w:lineRule="auto"/>
        <w:rPr>
          <w:rFonts w:ascii="Times New Roman" w:hAnsi="Times New Roman" w:cs="Times New Roman"/>
          <w:sz w:val="24"/>
          <w:szCs w:val="24"/>
          <w:lang w:val="en-CA" w:eastAsia="ko-KR"/>
        </w:rPr>
      </w:pPr>
      <w:r w:rsidRPr="00A93C0A">
        <w:rPr>
          <w:rFonts w:ascii="Times New Roman" w:hAnsi="Times New Roman" w:cs="Times New Roman"/>
          <w:b/>
          <w:bCs/>
          <w:sz w:val="28"/>
          <w:szCs w:val="28"/>
          <w:lang w:val="en-CA" w:eastAsia="ko-KR"/>
        </w:rPr>
        <w:t>Supplementary</w:t>
      </w:r>
      <w:r w:rsidRPr="00A93C0A">
        <w:rPr>
          <w:rFonts w:ascii="Times New Roman" w:hAnsi="Times New Roman" w:cs="Times New Roman" w:hint="eastAsia"/>
          <w:sz w:val="28"/>
          <w:szCs w:val="28"/>
          <w:lang w:val="en-CA" w:eastAsia="ko-KR"/>
        </w:rPr>
        <w:t xml:space="preserve"> </w:t>
      </w:r>
      <w:r w:rsidRPr="00A93C0A">
        <w:rPr>
          <w:rFonts w:ascii="Times New Roman" w:hAnsi="Times New Roman" w:cs="Times New Roman" w:hint="eastAsia"/>
          <w:b/>
          <w:bCs/>
          <w:sz w:val="28"/>
          <w:szCs w:val="28"/>
          <w:lang w:val="en-CA" w:eastAsia="ko-KR"/>
        </w:rPr>
        <w:t>Materials</w:t>
      </w:r>
    </w:p>
    <w:p w14:paraId="17AFE294" w14:textId="20BA9269" w:rsidR="00800B6A" w:rsidRPr="00800B6A" w:rsidRDefault="00800B6A" w:rsidP="00800B6A">
      <w:pPr>
        <w:spacing w:before="240" w:line="240" w:lineRule="auto"/>
        <w:rPr>
          <w:rFonts w:ascii="Times New Roman" w:hAnsi="Times New Roman" w:cs="Times New Roman"/>
          <w:sz w:val="24"/>
          <w:szCs w:val="24"/>
        </w:rPr>
      </w:pPr>
      <w:r w:rsidRPr="00800B6A">
        <w:rPr>
          <w:rFonts w:ascii="Times New Roman" w:hAnsi="Times New Roman" w:cs="Times New Roman"/>
          <w:sz w:val="24"/>
          <w:szCs w:val="24"/>
          <w:lang w:val="en-CA"/>
        </w:rPr>
        <w:t xml:space="preserve">Additional File 1 - </w:t>
      </w:r>
      <w:r w:rsidRPr="00800B6A">
        <w:rPr>
          <w:rFonts w:ascii="Times New Roman" w:hAnsi="Times New Roman" w:cs="Times New Roman"/>
          <w:sz w:val="24"/>
          <w:szCs w:val="24"/>
        </w:rPr>
        <w:t>Overview of key concepts and links between them</w:t>
      </w:r>
    </w:p>
    <w:tbl>
      <w:tblPr>
        <w:tblStyle w:val="TableGrid"/>
        <w:tblW w:w="9493" w:type="dxa"/>
        <w:tblLook w:val="04A0" w:firstRow="1" w:lastRow="0" w:firstColumn="1" w:lastColumn="0" w:noHBand="0" w:noVBand="1"/>
      </w:tblPr>
      <w:tblGrid>
        <w:gridCol w:w="1750"/>
        <w:gridCol w:w="7743"/>
      </w:tblGrid>
      <w:tr w:rsidR="00800B6A" w:rsidRPr="00A15BAD" w14:paraId="7368F95D" w14:textId="77777777" w:rsidTr="00800B6A">
        <w:trPr>
          <w:trHeight w:val="440"/>
        </w:trPr>
        <w:tc>
          <w:tcPr>
            <w:tcW w:w="1750" w:type="dxa"/>
            <w:shd w:val="clear" w:color="auto" w:fill="E7E6E6" w:themeFill="background2"/>
          </w:tcPr>
          <w:p w14:paraId="519418D6" w14:textId="77777777" w:rsidR="00800B6A" w:rsidRPr="00A15BAD" w:rsidRDefault="00800B6A" w:rsidP="00C26ECE">
            <w:pPr>
              <w:rPr>
                <w:rFonts w:ascii="Times New Roman" w:hAnsi="Times New Roman" w:cs="Times New Roman"/>
                <w:sz w:val="24"/>
                <w:szCs w:val="24"/>
              </w:rPr>
            </w:pPr>
            <w:bookmarkStart w:id="0" w:name="_Hlk202699651"/>
            <w:r w:rsidRPr="00A15BAD">
              <w:rPr>
                <w:rFonts w:ascii="Times New Roman" w:hAnsi="Times New Roman" w:cs="Times New Roman"/>
                <w:sz w:val="24"/>
                <w:szCs w:val="24"/>
              </w:rPr>
              <w:t>Key concepts</w:t>
            </w:r>
          </w:p>
        </w:tc>
        <w:tc>
          <w:tcPr>
            <w:tcW w:w="7743" w:type="dxa"/>
            <w:shd w:val="clear" w:color="auto" w:fill="E7E6E6" w:themeFill="background2"/>
          </w:tcPr>
          <w:p w14:paraId="3989B81D" w14:textId="77777777" w:rsidR="00800B6A" w:rsidRPr="00A15BAD" w:rsidRDefault="00800B6A" w:rsidP="00C26ECE">
            <w:pPr>
              <w:rPr>
                <w:rFonts w:ascii="Times New Roman" w:hAnsi="Times New Roman" w:cs="Times New Roman"/>
                <w:sz w:val="24"/>
                <w:szCs w:val="24"/>
              </w:rPr>
            </w:pPr>
            <w:r w:rsidRPr="00A15BAD">
              <w:rPr>
                <w:rFonts w:ascii="Times New Roman" w:hAnsi="Times New Roman" w:cs="Times New Roman"/>
                <w:sz w:val="24"/>
                <w:szCs w:val="24"/>
              </w:rPr>
              <w:t>Definitions and links between concepts</w:t>
            </w:r>
          </w:p>
        </w:tc>
      </w:tr>
      <w:tr w:rsidR="00800B6A" w:rsidRPr="00A15BAD" w14:paraId="17180C53" w14:textId="77777777" w:rsidTr="00800B6A">
        <w:tc>
          <w:tcPr>
            <w:tcW w:w="1750" w:type="dxa"/>
          </w:tcPr>
          <w:p w14:paraId="1D3353E8" w14:textId="77777777" w:rsidR="00800B6A" w:rsidRPr="00A15BAD" w:rsidRDefault="00800B6A" w:rsidP="00C26ECE">
            <w:pPr>
              <w:rPr>
                <w:rFonts w:ascii="Times New Roman" w:hAnsi="Times New Roman" w:cs="Times New Roman"/>
                <w:b/>
                <w:sz w:val="24"/>
                <w:szCs w:val="24"/>
              </w:rPr>
            </w:pPr>
            <w:r w:rsidRPr="00A15BAD">
              <w:rPr>
                <w:rFonts w:ascii="Times New Roman" w:hAnsi="Times New Roman" w:cs="Times New Roman"/>
                <w:b/>
                <w:sz w:val="24"/>
                <w:szCs w:val="24"/>
              </w:rPr>
              <w:t>Discrimination and oppression</w:t>
            </w:r>
          </w:p>
        </w:tc>
        <w:tc>
          <w:tcPr>
            <w:tcW w:w="7743" w:type="dxa"/>
          </w:tcPr>
          <w:p w14:paraId="5526AD24" w14:textId="20241B2B" w:rsidR="00800B6A" w:rsidRPr="00A15BAD" w:rsidRDefault="00800B6A" w:rsidP="00C26ECE">
            <w:pPr>
              <w:rPr>
                <w:rFonts w:ascii="Times New Roman" w:hAnsi="Times New Roman" w:cs="Times New Roman"/>
                <w:i/>
                <w:iCs/>
                <w:sz w:val="24"/>
                <w:szCs w:val="24"/>
              </w:rPr>
            </w:pPr>
            <w:r w:rsidRPr="00A15BAD">
              <w:rPr>
                <w:rFonts w:ascii="Times New Roman" w:hAnsi="Times New Roman" w:cs="Times New Roman"/>
                <w:i/>
                <w:iCs/>
                <w:sz w:val="24"/>
                <w:szCs w:val="24"/>
              </w:rPr>
              <w:t xml:space="preserve">Discrimination </w:t>
            </w:r>
            <w:r w:rsidRPr="00A15BAD">
              <w:rPr>
                <w:rFonts w:ascii="Times New Roman" w:hAnsi="Times New Roman" w:cs="Times New Roman"/>
                <w:sz w:val="24"/>
                <w:szCs w:val="24"/>
              </w:rPr>
              <w:t>refers to the multitude of processes by which individuals are assigned to certain social categories with uneven allocation of resources, prospects, rights, and power</w:t>
            </w:r>
            <w:r w:rsidR="00D5331F">
              <w:rPr>
                <w:rFonts w:ascii="Times New Roman" w:hAnsi="Times New Roman" w:cs="Times New Roman" w:hint="eastAsia"/>
                <w:sz w:val="24"/>
                <w:szCs w:val="24"/>
                <w:lang w:eastAsia="ko-KR"/>
              </w:rPr>
              <w:t xml:space="preserve"> (</w:t>
            </w:r>
            <w:r w:rsidR="00D5331F" w:rsidRPr="00D5331F">
              <w:rPr>
                <w:rFonts w:ascii="Times New Roman" w:hAnsi="Times New Roman" w:cs="Times New Roman"/>
                <w:sz w:val="24"/>
                <w:szCs w:val="24"/>
                <w:lang w:eastAsia="ko-KR"/>
              </w:rPr>
              <w:t>Thompson, 2003)</w:t>
            </w:r>
            <w:r w:rsidRPr="00A15BAD">
              <w:rPr>
                <w:rFonts w:ascii="Times New Roman" w:hAnsi="Times New Roman" w:cs="Times New Roman"/>
                <w:sz w:val="24"/>
                <w:szCs w:val="24"/>
              </w:rPr>
              <w:t>. Discrimination acts as a key barrier to achieving equality and social justice, and can happen at three separate but interwoven levels, personal, cultural, and structural</w:t>
            </w:r>
            <w:r w:rsidR="00D5331F">
              <w:rPr>
                <w:rFonts w:ascii="Times New Roman" w:hAnsi="Times New Roman" w:cs="Times New Roman" w:hint="eastAsia"/>
                <w:sz w:val="24"/>
                <w:szCs w:val="24"/>
                <w:lang w:eastAsia="ko-KR"/>
              </w:rPr>
              <w:t xml:space="preserve"> </w:t>
            </w:r>
            <w:r w:rsidR="00D5331F">
              <w:rPr>
                <w:rFonts w:ascii="Times New Roman" w:hAnsi="Times New Roman" w:cs="Times New Roman" w:hint="eastAsia"/>
                <w:sz w:val="24"/>
                <w:szCs w:val="24"/>
                <w:lang w:eastAsia="ko-KR"/>
              </w:rPr>
              <w:t>(</w:t>
            </w:r>
            <w:r w:rsidR="00D5331F" w:rsidRPr="00D5331F">
              <w:rPr>
                <w:rFonts w:ascii="Times New Roman" w:hAnsi="Times New Roman" w:cs="Times New Roman"/>
                <w:sz w:val="24"/>
                <w:szCs w:val="24"/>
                <w:lang w:eastAsia="ko-KR"/>
              </w:rPr>
              <w:t>Thompson, 2003)</w:t>
            </w:r>
            <w:r>
              <w:rPr>
                <w:rFonts w:ascii="Times New Roman" w:hAnsi="Times New Roman" w:cs="Times New Roman"/>
                <w:sz w:val="24"/>
                <w:szCs w:val="24"/>
              </w:rPr>
              <w:t>.</w:t>
            </w:r>
            <w:r w:rsidRPr="00A15BAD">
              <w:rPr>
                <w:rFonts w:ascii="Times New Roman" w:hAnsi="Times New Roman" w:cs="Times New Roman"/>
                <w:i/>
                <w:iCs/>
                <w:sz w:val="24"/>
                <w:szCs w:val="24"/>
              </w:rPr>
              <w:t xml:space="preserve"> </w:t>
            </w:r>
          </w:p>
          <w:p w14:paraId="47CD3151" w14:textId="13E5C8F3" w:rsidR="00800B6A" w:rsidRPr="00A15BAD" w:rsidRDefault="00800B6A" w:rsidP="00C26ECE">
            <w:pPr>
              <w:spacing w:before="240"/>
              <w:rPr>
                <w:rFonts w:ascii="Times New Roman" w:hAnsi="Times New Roman" w:cs="Times New Roman"/>
                <w:sz w:val="24"/>
                <w:szCs w:val="24"/>
              </w:rPr>
            </w:pPr>
            <w:r w:rsidRPr="00A15BAD">
              <w:rPr>
                <w:rFonts w:ascii="Times New Roman" w:hAnsi="Times New Roman" w:cs="Times New Roman"/>
                <w:i/>
                <w:iCs/>
                <w:sz w:val="24"/>
                <w:szCs w:val="24"/>
              </w:rPr>
              <w:t>Oppression</w:t>
            </w:r>
            <w:r w:rsidRPr="00A15BAD">
              <w:rPr>
                <w:rFonts w:ascii="Times New Roman" w:hAnsi="Times New Roman" w:cs="Times New Roman"/>
                <w:sz w:val="24"/>
                <w:szCs w:val="24"/>
              </w:rPr>
              <w:t xml:space="preserve"> is a key outcome of discrimination</w:t>
            </w:r>
            <w:r w:rsidR="00D5331F">
              <w:rPr>
                <w:rFonts w:ascii="Times New Roman" w:hAnsi="Times New Roman" w:cs="Times New Roman" w:hint="eastAsia"/>
                <w:sz w:val="24"/>
                <w:szCs w:val="24"/>
                <w:lang w:eastAsia="ko-KR"/>
              </w:rPr>
              <w:t xml:space="preserve"> </w:t>
            </w:r>
            <w:r w:rsidR="00D5331F">
              <w:rPr>
                <w:rFonts w:ascii="Times New Roman" w:hAnsi="Times New Roman" w:cs="Times New Roman" w:hint="eastAsia"/>
                <w:sz w:val="24"/>
                <w:szCs w:val="24"/>
                <w:lang w:eastAsia="ko-KR"/>
              </w:rPr>
              <w:t>(</w:t>
            </w:r>
            <w:r w:rsidR="00D5331F" w:rsidRPr="00D5331F">
              <w:rPr>
                <w:rFonts w:ascii="Times New Roman" w:hAnsi="Times New Roman" w:cs="Times New Roman"/>
                <w:sz w:val="24"/>
                <w:szCs w:val="24"/>
                <w:lang w:eastAsia="ko-KR"/>
              </w:rPr>
              <w:t>Thompson, 2003)</w:t>
            </w:r>
            <w:r w:rsidRPr="00A15BAD">
              <w:rPr>
                <w:rFonts w:ascii="Times New Roman" w:hAnsi="Times New Roman" w:cs="Times New Roman"/>
                <w:sz w:val="24"/>
                <w:szCs w:val="24"/>
              </w:rPr>
              <w:t xml:space="preserve"> and can take many forms, including sexism, racism, classism, ableism, and ageism</w:t>
            </w:r>
            <w:r w:rsidR="00D5331F">
              <w:rPr>
                <w:rFonts w:ascii="Times New Roman" w:hAnsi="Times New Roman" w:cs="Times New Roman" w:hint="eastAsia"/>
                <w:sz w:val="24"/>
                <w:szCs w:val="24"/>
                <w:lang w:eastAsia="ko-KR"/>
              </w:rPr>
              <w:t xml:space="preserve"> </w:t>
            </w:r>
            <w:r w:rsidR="00D5331F">
              <w:rPr>
                <w:rFonts w:ascii="Times New Roman" w:hAnsi="Times New Roman" w:cs="Times New Roman" w:hint="eastAsia"/>
                <w:sz w:val="24"/>
                <w:szCs w:val="24"/>
                <w:lang w:eastAsia="ko-KR"/>
              </w:rPr>
              <w:t>(</w:t>
            </w:r>
            <w:r w:rsidR="00D5331F" w:rsidRPr="00D5331F">
              <w:rPr>
                <w:rFonts w:ascii="Times New Roman" w:hAnsi="Times New Roman" w:cs="Times New Roman"/>
                <w:sz w:val="24"/>
                <w:szCs w:val="24"/>
                <w:lang w:eastAsia="ko-KR"/>
              </w:rPr>
              <w:t>Thompson, 2003)</w:t>
            </w:r>
            <w:r w:rsidRPr="00A15BAD">
              <w:rPr>
                <w:rFonts w:ascii="Times New Roman" w:hAnsi="Times New Roman" w:cs="Times New Roman"/>
                <w:sz w:val="24"/>
                <w:szCs w:val="24"/>
              </w:rPr>
              <w:t>.</w:t>
            </w:r>
            <w:r w:rsidR="00D5331F" w:rsidRPr="00A15BAD">
              <w:rPr>
                <w:rFonts w:ascii="Times New Roman" w:hAnsi="Times New Roman" w:cs="Times New Roman"/>
                <w:sz w:val="24"/>
                <w:szCs w:val="24"/>
              </w:rPr>
              <w:t xml:space="preserve"> </w:t>
            </w:r>
          </w:p>
          <w:p w14:paraId="25E9D834" w14:textId="77777777" w:rsidR="00800B6A" w:rsidRPr="00A15BAD" w:rsidRDefault="00800B6A" w:rsidP="00C26ECE">
            <w:pPr>
              <w:spacing w:before="240"/>
              <w:rPr>
                <w:rFonts w:ascii="Times New Roman" w:hAnsi="Times New Roman" w:cs="Times New Roman"/>
                <w:sz w:val="24"/>
                <w:szCs w:val="24"/>
              </w:rPr>
            </w:pPr>
            <w:r w:rsidRPr="00A15BAD">
              <w:rPr>
                <w:rFonts w:ascii="Times New Roman" w:hAnsi="Times New Roman" w:cs="Times New Roman"/>
                <w:sz w:val="24"/>
                <w:szCs w:val="24"/>
              </w:rPr>
              <w:t>Systemic discrimination or oppression refers to the pervasive entrenchment of discrimination and oppression within institutional structures, systems, laws, policies, values, practices, and beliefs.</w:t>
            </w:r>
          </w:p>
        </w:tc>
      </w:tr>
      <w:tr w:rsidR="00800B6A" w:rsidRPr="00A15BAD" w14:paraId="2AEC64C2" w14:textId="77777777" w:rsidTr="00800B6A">
        <w:tc>
          <w:tcPr>
            <w:tcW w:w="1750" w:type="dxa"/>
          </w:tcPr>
          <w:p w14:paraId="109D7FEE" w14:textId="77777777" w:rsidR="00800B6A" w:rsidRPr="00A15BAD" w:rsidRDefault="00800B6A" w:rsidP="00C26ECE">
            <w:pPr>
              <w:rPr>
                <w:rFonts w:ascii="Times New Roman" w:hAnsi="Times New Roman" w:cs="Times New Roman"/>
                <w:b/>
                <w:sz w:val="24"/>
                <w:szCs w:val="24"/>
              </w:rPr>
            </w:pPr>
            <w:r w:rsidRPr="00A15BAD">
              <w:rPr>
                <w:rFonts w:ascii="Times New Roman" w:hAnsi="Times New Roman" w:cs="Times New Roman"/>
                <w:b/>
                <w:sz w:val="24"/>
                <w:szCs w:val="24"/>
              </w:rPr>
              <w:t>Inclusion, equity, and diversity</w:t>
            </w:r>
          </w:p>
        </w:tc>
        <w:tc>
          <w:tcPr>
            <w:tcW w:w="7743" w:type="dxa"/>
          </w:tcPr>
          <w:p w14:paraId="054194A6" w14:textId="796E5DED" w:rsidR="00800B6A" w:rsidRPr="00A15BAD" w:rsidRDefault="00800B6A" w:rsidP="00C26ECE">
            <w:pPr>
              <w:rPr>
                <w:rFonts w:ascii="Times New Roman" w:hAnsi="Times New Roman" w:cs="Times New Roman"/>
                <w:sz w:val="24"/>
                <w:szCs w:val="24"/>
              </w:rPr>
            </w:pPr>
            <w:r w:rsidRPr="00A15BAD">
              <w:rPr>
                <w:rFonts w:ascii="Times New Roman" w:hAnsi="Times New Roman" w:cs="Times New Roman"/>
                <w:sz w:val="24"/>
                <w:szCs w:val="24"/>
              </w:rPr>
              <w:t xml:space="preserve">The principles of </w:t>
            </w:r>
            <w:r w:rsidRPr="00A15BAD">
              <w:rPr>
                <w:rFonts w:ascii="Times New Roman" w:hAnsi="Times New Roman" w:cs="Times New Roman"/>
                <w:i/>
                <w:sz w:val="24"/>
                <w:szCs w:val="24"/>
              </w:rPr>
              <w:t>inclusion, equity, and diversity</w:t>
            </w:r>
            <w:r w:rsidRPr="00A15BAD">
              <w:rPr>
                <w:rFonts w:ascii="Times New Roman" w:hAnsi="Times New Roman" w:cs="Times New Roman"/>
                <w:sz w:val="24"/>
                <w:szCs w:val="24"/>
              </w:rPr>
              <w:t xml:space="preserve"> are often used in frameworks and constructs focused on addressing structural </w:t>
            </w:r>
            <w:r w:rsidR="004D6BCC">
              <w:rPr>
                <w:rFonts w:ascii="Times New Roman" w:hAnsi="Times New Roman" w:cs="Times New Roman"/>
                <w:sz w:val="24"/>
                <w:szCs w:val="24"/>
              </w:rPr>
              <w:t>inequities</w:t>
            </w:r>
            <w:r w:rsidRPr="00A15BAD">
              <w:rPr>
                <w:rFonts w:ascii="Times New Roman" w:hAnsi="Times New Roman" w:cs="Times New Roman"/>
                <w:sz w:val="24"/>
                <w:szCs w:val="24"/>
              </w:rPr>
              <w:t xml:space="preserve"> through sustainable social changes that could facilitate a more equitable access to power and resources</w:t>
            </w:r>
            <w:r w:rsidR="00424810">
              <w:rPr>
                <w:rFonts w:ascii="Times New Roman" w:hAnsi="Times New Roman" w:cs="Times New Roman" w:hint="eastAsia"/>
                <w:sz w:val="24"/>
                <w:szCs w:val="24"/>
                <w:lang w:eastAsia="ko-KR"/>
              </w:rPr>
              <w:t xml:space="preserve"> (</w:t>
            </w:r>
            <w:r w:rsidR="00424810" w:rsidRPr="007C0C08">
              <w:rPr>
                <w:rFonts w:ascii="Times New Roman" w:hAnsi="Times New Roman" w:cs="Times New Roman"/>
              </w:rPr>
              <w:t>Venkateswaran</w:t>
            </w:r>
            <w:r w:rsidR="00424810">
              <w:rPr>
                <w:rFonts w:ascii="Times New Roman" w:hAnsi="Times New Roman" w:cs="Times New Roman" w:hint="eastAsia"/>
                <w:lang w:eastAsia="ko-KR"/>
              </w:rPr>
              <w:t xml:space="preserve"> et al., 2023)</w:t>
            </w:r>
            <w:r>
              <w:rPr>
                <w:rFonts w:ascii="Times New Roman" w:hAnsi="Times New Roman" w:cs="Times New Roman"/>
                <w:sz w:val="24"/>
                <w:szCs w:val="24"/>
              </w:rPr>
              <w:t>.</w:t>
            </w:r>
            <w:r w:rsidR="00424810" w:rsidRPr="00A15BAD">
              <w:rPr>
                <w:rFonts w:ascii="Times New Roman" w:hAnsi="Times New Roman" w:cs="Times New Roman"/>
                <w:sz w:val="24"/>
                <w:szCs w:val="24"/>
              </w:rPr>
              <w:t xml:space="preserve"> </w:t>
            </w:r>
          </w:p>
          <w:p w14:paraId="3FF046D9" w14:textId="6008B475" w:rsidR="00800B6A" w:rsidRPr="00A15BAD" w:rsidRDefault="00800B6A" w:rsidP="00C26ECE">
            <w:pPr>
              <w:spacing w:before="240"/>
              <w:rPr>
                <w:rFonts w:ascii="Times New Roman" w:hAnsi="Times New Roman" w:cs="Times New Roman"/>
                <w:sz w:val="24"/>
                <w:szCs w:val="24"/>
              </w:rPr>
            </w:pPr>
            <w:r w:rsidRPr="00A15BAD">
              <w:rPr>
                <w:rFonts w:ascii="Times New Roman" w:hAnsi="Times New Roman" w:cs="Times New Roman"/>
                <w:sz w:val="24"/>
                <w:szCs w:val="24"/>
              </w:rPr>
              <w:t xml:space="preserve">In this context, it is suggested that the practice of </w:t>
            </w:r>
            <w:r w:rsidRPr="00A15BAD">
              <w:rPr>
                <w:rFonts w:ascii="Times New Roman" w:hAnsi="Times New Roman" w:cs="Times New Roman"/>
                <w:i/>
                <w:iCs/>
                <w:sz w:val="24"/>
                <w:szCs w:val="24"/>
              </w:rPr>
              <w:t>inclusion</w:t>
            </w:r>
            <w:r w:rsidRPr="00A15BAD">
              <w:rPr>
                <w:rFonts w:ascii="Times New Roman" w:hAnsi="Times New Roman" w:cs="Times New Roman"/>
                <w:sz w:val="24"/>
                <w:szCs w:val="24"/>
              </w:rPr>
              <w:t>—described as the incorporation and representation of the culture and viewpoints of groups that are usually excluded from power and influence—provides opportunities to correct power imbalances resulting from systemic inequities through ensuring that the voices of those who have been historically excluded from decision-making are now heard</w:t>
            </w:r>
            <w:r w:rsidR="00424810">
              <w:rPr>
                <w:rFonts w:ascii="Times New Roman" w:hAnsi="Times New Roman" w:cs="Times New Roman" w:hint="eastAsia"/>
                <w:sz w:val="24"/>
                <w:szCs w:val="24"/>
                <w:lang w:eastAsia="ko-KR"/>
              </w:rPr>
              <w:t xml:space="preserve"> </w:t>
            </w:r>
            <w:r w:rsidR="00424810">
              <w:rPr>
                <w:rFonts w:ascii="Times New Roman" w:hAnsi="Times New Roman" w:cs="Times New Roman" w:hint="eastAsia"/>
                <w:sz w:val="24"/>
                <w:szCs w:val="24"/>
                <w:lang w:eastAsia="ko-KR"/>
              </w:rPr>
              <w:t>(</w:t>
            </w:r>
            <w:r w:rsidR="00424810" w:rsidRPr="007C0C08">
              <w:rPr>
                <w:rFonts w:ascii="Times New Roman" w:hAnsi="Times New Roman" w:cs="Times New Roman"/>
              </w:rPr>
              <w:t>Venkateswaran</w:t>
            </w:r>
            <w:r w:rsidR="00424810">
              <w:rPr>
                <w:rFonts w:ascii="Times New Roman" w:hAnsi="Times New Roman" w:cs="Times New Roman" w:hint="eastAsia"/>
                <w:lang w:eastAsia="ko-KR"/>
              </w:rPr>
              <w:t xml:space="preserve"> et al., 2023)</w:t>
            </w:r>
            <w:r>
              <w:rPr>
                <w:rFonts w:ascii="Times New Roman" w:hAnsi="Times New Roman" w:cs="Times New Roman"/>
                <w:sz w:val="24"/>
                <w:szCs w:val="24"/>
              </w:rPr>
              <w:t>.</w:t>
            </w:r>
            <w:r w:rsidRPr="00A15BAD">
              <w:rPr>
                <w:rFonts w:ascii="Times New Roman" w:hAnsi="Times New Roman" w:cs="Times New Roman"/>
                <w:sz w:val="24"/>
                <w:szCs w:val="24"/>
              </w:rPr>
              <w:t xml:space="preserve"> </w:t>
            </w:r>
          </w:p>
          <w:p w14:paraId="7FDAC28D" w14:textId="6BEA4253" w:rsidR="00800B6A" w:rsidRPr="00A15BAD" w:rsidRDefault="00800B6A" w:rsidP="00C26ECE">
            <w:pPr>
              <w:spacing w:before="240"/>
              <w:rPr>
                <w:rFonts w:ascii="Times New Roman" w:hAnsi="Times New Roman" w:cs="Times New Roman"/>
                <w:sz w:val="24"/>
                <w:szCs w:val="24"/>
              </w:rPr>
            </w:pPr>
            <w:r w:rsidRPr="00A15BAD">
              <w:rPr>
                <w:rFonts w:ascii="Times New Roman" w:hAnsi="Times New Roman" w:cs="Times New Roman"/>
                <w:sz w:val="24"/>
                <w:szCs w:val="24"/>
              </w:rPr>
              <w:t xml:space="preserve">Ultimately, since enduring inequitable outcomes are a result of systemic unequal economic, political, and cultural relations, attaining </w:t>
            </w:r>
            <w:r w:rsidRPr="00A15BAD">
              <w:rPr>
                <w:rFonts w:ascii="Times New Roman" w:hAnsi="Times New Roman" w:cs="Times New Roman"/>
                <w:i/>
                <w:iCs/>
                <w:sz w:val="24"/>
                <w:szCs w:val="24"/>
              </w:rPr>
              <w:t>equity—</w:t>
            </w:r>
            <w:r w:rsidRPr="00A15BAD">
              <w:rPr>
                <w:rFonts w:ascii="Times New Roman" w:hAnsi="Times New Roman" w:cs="Times New Roman"/>
                <w:sz w:val="24"/>
                <w:szCs w:val="24"/>
              </w:rPr>
              <w:t>defined as the just distribution of resources conducive to good health and a flourishing life</w:t>
            </w:r>
            <w:r w:rsidR="00E36200">
              <w:rPr>
                <w:rFonts w:ascii="Times New Roman" w:hAnsi="Times New Roman" w:cs="Times New Roman" w:hint="eastAsia"/>
                <w:sz w:val="24"/>
                <w:szCs w:val="24"/>
                <w:lang w:eastAsia="ko-KR"/>
              </w:rPr>
              <w:t xml:space="preserve"> (</w:t>
            </w:r>
            <w:r w:rsidR="00E36200">
              <w:rPr>
                <w:rFonts w:ascii="Times New Roman" w:hAnsi="Times New Roman" w:cs="Times New Roman" w:hint="eastAsia"/>
                <w:lang w:eastAsia="ko-KR"/>
              </w:rPr>
              <w:t>WHO</w:t>
            </w:r>
            <w:r w:rsidR="00E36200">
              <w:rPr>
                <w:rFonts w:ascii="Times New Roman" w:hAnsi="Times New Roman" w:cs="Times New Roman" w:hint="eastAsia"/>
                <w:lang w:eastAsia="ko-KR"/>
              </w:rPr>
              <w:t xml:space="preserve"> </w:t>
            </w:r>
            <w:r w:rsidR="00E36200" w:rsidRPr="00800B6A">
              <w:rPr>
                <w:rFonts w:ascii="Times New Roman" w:hAnsi="Times New Roman" w:cs="Times New Roman"/>
                <w:sz w:val="24"/>
                <w:szCs w:val="24"/>
              </w:rPr>
              <w:t>Commission on Social Determinants of Health</w:t>
            </w:r>
            <w:r w:rsidR="00E36200">
              <w:rPr>
                <w:rFonts w:ascii="Times New Roman" w:hAnsi="Times New Roman" w:cs="Times New Roman" w:hint="eastAsia"/>
                <w:sz w:val="24"/>
                <w:szCs w:val="24"/>
                <w:lang w:eastAsia="ko-KR"/>
              </w:rPr>
              <w:t>, 2008)</w:t>
            </w:r>
            <w:r w:rsidRPr="00A15BAD">
              <w:rPr>
                <w:rFonts w:ascii="Times New Roman" w:hAnsi="Times New Roman" w:cs="Times New Roman"/>
                <w:sz w:val="24"/>
                <w:szCs w:val="24"/>
              </w:rPr>
              <w:t>—necessitates not only acknowledging but addressing and undoing systemic discrimination and oppression, which shape opportunities, access to resources, and lifetime outcomes</w:t>
            </w:r>
            <w:r w:rsidR="00E36200">
              <w:rPr>
                <w:rFonts w:ascii="Times New Roman" w:hAnsi="Times New Roman" w:cs="Times New Roman" w:hint="eastAsia"/>
                <w:sz w:val="24"/>
                <w:szCs w:val="24"/>
                <w:lang w:eastAsia="ko-KR"/>
              </w:rPr>
              <w:t xml:space="preserve"> </w:t>
            </w:r>
            <w:r w:rsidR="00E36200">
              <w:rPr>
                <w:rFonts w:ascii="Times New Roman" w:hAnsi="Times New Roman" w:cs="Times New Roman" w:hint="eastAsia"/>
                <w:sz w:val="24"/>
                <w:szCs w:val="24"/>
                <w:lang w:eastAsia="ko-KR"/>
              </w:rPr>
              <w:t>(</w:t>
            </w:r>
            <w:r w:rsidR="00E36200">
              <w:rPr>
                <w:rFonts w:ascii="Times New Roman" w:hAnsi="Times New Roman" w:cs="Times New Roman" w:hint="eastAsia"/>
                <w:lang w:eastAsia="ko-KR"/>
              </w:rPr>
              <w:t xml:space="preserve">WHO </w:t>
            </w:r>
            <w:r w:rsidR="00E36200" w:rsidRPr="00800B6A">
              <w:rPr>
                <w:rFonts w:ascii="Times New Roman" w:hAnsi="Times New Roman" w:cs="Times New Roman"/>
                <w:sz w:val="24"/>
                <w:szCs w:val="24"/>
              </w:rPr>
              <w:t>Commission on Social Determinants of Health</w:t>
            </w:r>
            <w:r w:rsidR="00E36200">
              <w:rPr>
                <w:rFonts w:ascii="Times New Roman" w:hAnsi="Times New Roman" w:cs="Times New Roman" w:hint="eastAsia"/>
                <w:sz w:val="24"/>
                <w:szCs w:val="24"/>
                <w:lang w:eastAsia="ko-KR"/>
              </w:rPr>
              <w:t>, 2008)</w:t>
            </w:r>
            <w:r>
              <w:rPr>
                <w:rFonts w:ascii="Times New Roman" w:hAnsi="Times New Roman" w:cs="Times New Roman"/>
                <w:sz w:val="24"/>
                <w:szCs w:val="24"/>
              </w:rPr>
              <w:t>.</w:t>
            </w:r>
            <w:r w:rsidRPr="00A15BAD">
              <w:rPr>
                <w:rFonts w:ascii="Times New Roman" w:hAnsi="Times New Roman" w:cs="Times New Roman"/>
                <w:sz w:val="24"/>
                <w:szCs w:val="24"/>
              </w:rPr>
              <w:t xml:space="preserve"> </w:t>
            </w:r>
          </w:p>
          <w:p w14:paraId="0666A59E" w14:textId="6E8C93B8" w:rsidR="00800B6A" w:rsidRPr="00A15BAD" w:rsidRDefault="00800B6A" w:rsidP="00C26ECE">
            <w:pPr>
              <w:spacing w:before="240"/>
              <w:rPr>
                <w:rFonts w:ascii="Times New Roman" w:hAnsi="Times New Roman" w:cs="Times New Roman"/>
                <w:sz w:val="24"/>
                <w:szCs w:val="24"/>
              </w:rPr>
            </w:pPr>
            <w:r w:rsidRPr="00A15BAD">
              <w:rPr>
                <w:rFonts w:ascii="Times New Roman" w:hAnsi="Times New Roman" w:cs="Times New Roman"/>
                <w:sz w:val="24"/>
                <w:szCs w:val="24"/>
              </w:rPr>
              <w:t>A</w:t>
            </w:r>
            <w:r>
              <w:rPr>
                <w:rFonts w:ascii="Times New Roman" w:hAnsi="Times New Roman" w:cs="Times New Roman"/>
                <w:sz w:val="24"/>
                <w:szCs w:val="24"/>
              </w:rPr>
              <w:t xml:space="preserve">n </w:t>
            </w:r>
            <w:r w:rsidRPr="00A15BAD">
              <w:rPr>
                <w:rFonts w:ascii="Times New Roman" w:hAnsi="Times New Roman" w:cs="Times New Roman"/>
                <w:sz w:val="24"/>
                <w:szCs w:val="24"/>
              </w:rPr>
              <w:t xml:space="preserve">exploration of the concept of </w:t>
            </w:r>
            <w:r w:rsidRPr="00A15BAD">
              <w:rPr>
                <w:rFonts w:ascii="Times New Roman" w:hAnsi="Times New Roman" w:cs="Times New Roman"/>
                <w:i/>
                <w:iCs/>
                <w:sz w:val="24"/>
                <w:szCs w:val="24"/>
              </w:rPr>
              <w:t>diversity</w:t>
            </w:r>
            <w:r w:rsidRPr="00A15BAD">
              <w:rPr>
                <w:rFonts w:ascii="Times New Roman" w:hAnsi="Times New Roman" w:cs="Times New Roman"/>
                <w:sz w:val="24"/>
                <w:szCs w:val="24"/>
              </w:rPr>
              <w:t xml:space="preserve"> reveals that it encompasses not only the existence of differences based on age, sexual orientation, socioeconomic status, race, ethnicity, gender and gender identity, language, religious beliefs/practices, political affiliations, and culture, but the result of cumulative barriers or facilitators to opportunities that disadvantage some and </w:t>
            </w:r>
            <w:r w:rsidRPr="00A15BAD">
              <w:rPr>
                <w:rFonts w:ascii="Times New Roman" w:hAnsi="Times New Roman" w:cs="Times New Roman"/>
                <w:sz w:val="24"/>
                <w:szCs w:val="24"/>
              </w:rPr>
              <w:lastRenderedPageBreak/>
              <w:t>privilege others, and, in turn, further accentuate differences among groups</w:t>
            </w:r>
            <w:r w:rsidR="00424810">
              <w:rPr>
                <w:rFonts w:ascii="Times New Roman" w:hAnsi="Times New Roman" w:cs="Times New Roman" w:hint="eastAsia"/>
                <w:sz w:val="24"/>
                <w:szCs w:val="24"/>
                <w:lang w:eastAsia="ko-KR"/>
              </w:rPr>
              <w:t xml:space="preserve"> </w:t>
            </w:r>
            <w:r w:rsidR="00424810">
              <w:rPr>
                <w:rFonts w:ascii="Times New Roman" w:hAnsi="Times New Roman" w:cs="Times New Roman" w:hint="eastAsia"/>
                <w:sz w:val="24"/>
                <w:szCs w:val="24"/>
                <w:lang w:eastAsia="ko-KR"/>
              </w:rPr>
              <w:t>(</w:t>
            </w:r>
            <w:r w:rsidR="00424810" w:rsidRPr="007C0C08">
              <w:rPr>
                <w:rFonts w:ascii="Times New Roman" w:hAnsi="Times New Roman" w:cs="Times New Roman"/>
              </w:rPr>
              <w:t>Venkateswaran</w:t>
            </w:r>
            <w:r w:rsidR="00424810">
              <w:rPr>
                <w:rFonts w:ascii="Times New Roman" w:hAnsi="Times New Roman" w:cs="Times New Roman" w:hint="eastAsia"/>
                <w:lang w:eastAsia="ko-KR"/>
              </w:rPr>
              <w:t xml:space="preserve"> et al., 2023)</w:t>
            </w:r>
            <w:r>
              <w:rPr>
                <w:rFonts w:ascii="Times New Roman" w:hAnsi="Times New Roman" w:cs="Times New Roman"/>
                <w:sz w:val="24"/>
                <w:szCs w:val="24"/>
              </w:rPr>
              <w:t>.</w:t>
            </w:r>
            <w:r w:rsidRPr="00A15BAD">
              <w:rPr>
                <w:rFonts w:ascii="Times New Roman" w:hAnsi="Times New Roman" w:cs="Times New Roman"/>
                <w:sz w:val="24"/>
                <w:szCs w:val="24"/>
              </w:rPr>
              <w:t xml:space="preserve"> </w:t>
            </w:r>
          </w:p>
        </w:tc>
      </w:tr>
      <w:tr w:rsidR="00800B6A" w:rsidRPr="00A15BAD" w14:paraId="0780C813" w14:textId="77777777" w:rsidTr="00800B6A">
        <w:tc>
          <w:tcPr>
            <w:tcW w:w="1750" w:type="dxa"/>
          </w:tcPr>
          <w:p w14:paraId="49E22F75" w14:textId="77777777" w:rsidR="00800B6A" w:rsidRPr="00A15BAD" w:rsidRDefault="00800B6A" w:rsidP="00C26ECE">
            <w:pPr>
              <w:rPr>
                <w:rFonts w:ascii="Times New Roman" w:hAnsi="Times New Roman" w:cs="Times New Roman"/>
                <w:b/>
                <w:sz w:val="24"/>
                <w:szCs w:val="24"/>
              </w:rPr>
            </w:pPr>
            <w:r w:rsidRPr="00A15BAD">
              <w:rPr>
                <w:rFonts w:ascii="Times New Roman" w:hAnsi="Times New Roman" w:cs="Times New Roman"/>
                <w:b/>
                <w:sz w:val="24"/>
                <w:szCs w:val="24"/>
              </w:rPr>
              <w:lastRenderedPageBreak/>
              <w:t xml:space="preserve">Social identity </w:t>
            </w:r>
          </w:p>
        </w:tc>
        <w:tc>
          <w:tcPr>
            <w:tcW w:w="7743" w:type="dxa"/>
          </w:tcPr>
          <w:p w14:paraId="05437233" w14:textId="7D00278F" w:rsidR="00800B6A" w:rsidRPr="00A15BAD" w:rsidRDefault="00800B6A" w:rsidP="00C26ECE">
            <w:pPr>
              <w:rPr>
                <w:rFonts w:ascii="Times New Roman" w:hAnsi="Times New Roman" w:cs="Times New Roman"/>
                <w:sz w:val="24"/>
                <w:szCs w:val="24"/>
              </w:rPr>
            </w:pPr>
            <w:r w:rsidRPr="00A15BAD">
              <w:rPr>
                <w:rFonts w:ascii="Times New Roman" w:hAnsi="Times New Roman" w:cs="Times New Roman"/>
                <w:sz w:val="24"/>
                <w:szCs w:val="24"/>
              </w:rPr>
              <w:t>Social identity, also referred to as social location, provides the context to collectively identify groups using categorical attributes that include but are not limited to gender, age, sexual orientation, race, ethnicity, religion, language, migration, citizenship, or disability</w:t>
            </w:r>
            <w:r w:rsidR="00937834">
              <w:rPr>
                <w:rFonts w:ascii="Times New Roman" w:hAnsi="Times New Roman" w:cs="Times New Roman" w:hint="eastAsia"/>
                <w:sz w:val="24"/>
                <w:szCs w:val="24"/>
                <w:lang w:eastAsia="ko-KR"/>
              </w:rPr>
              <w:t xml:space="preserve"> (</w:t>
            </w:r>
            <w:r w:rsidR="00937834" w:rsidRPr="00A93C0A">
              <w:rPr>
                <w:rFonts w:ascii="Times New Roman" w:hAnsi="Times New Roman" w:cs="Times New Roman"/>
              </w:rPr>
              <w:t>Allison &amp; Banerjee, 2014</w:t>
            </w:r>
            <w:r w:rsidR="00937834">
              <w:rPr>
                <w:rFonts w:ascii="Times New Roman" w:hAnsi="Times New Roman" w:cs="Times New Roman" w:hint="eastAsia"/>
                <w:lang w:eastAsia="ko-KR"/>
              </w:rPr>
              <w:t xml:space="preserve">; </w:t>
            </w:r>
            <w:r w:rsidR="00937834" w:rsidRPr="00A93C0A">
              <w:rPr>
                <w:rFonts w:ascii="Times New Roman" w:hAnsi="Times New Roman" w:cs="Times New Roman"/>
              </w:rPr>
              <w:t>Jenkins, 2008</w:t>
            </w:r>
            <w:r w:rsidR="00937834">
              <w:rPr>
                <w:rFonts w:ascii="Times New Roman" w:hAnsi="Times New Roman" w:cs="Times New Roman" w:hint="eastAsia"/>
                <w:lang w:eastAsia="ko-KR"/>
              </w:rPr>
              <w:t xml:space="preserve">; </w:t>
            </w:r>
            <w:r w:rsidR="00937834" w:rsidRPr="00A93C0A">
              <w:rPr>
                <w:rFonts w:ascii="Times New Roman" w:hAnsi="Times New Roman" w:cs="Times New Roman"/>
              </w:rPr>
              <w:t>Wiley, 2012)</w:t>
            </w:r>
            <w:r>
              <w:rPr>
                <w:rFonts w:ascii="Times New Roman" w:hAnsi="Times New Roman" w:cs="Times New Roman"/>
                <w:sz w:val="24"/>
                <w:szCs w:val="24"/>
              </w:rPr>
              <w:t>.</w:t>
            </w:r>
            <w:r w:rsidR="00937834" w:rsidRPr="00A15BAD">
              <w:rPr>
                <w:rFonts w:ascii="Times New Roman" w:hAnsi="Times New Roman" w:cs="Times New Roman"/>
                <w:sz w:val="24"/>
                <w:szCs w:val="24"/>
              </w:rPr>
              <w:t xml:space="preserve"> </w:t>
            </w:r>
          </w:p>
        </w:tc>
      </w:tr>
      <w:tr w:rsidR="00800B6A" w:rsidRPr="00A15BAD" w14:paraId="000AFD39" w14:textId="77777777" w:rsidTr="00800B6A">
        <w:tc>
          <w:tcPr>
            <w:tcW w:w="1750" w:type="dxa"/>
          </w:tcPr>
          <w:p w14:paraId="7288478F" w14:textId="77777777" w:rsidR="00800B6A" w:rsidRPr="00A15BAD" w:rsidRDefault="00800B6A" w:rsidP="00C26ECE">
            <w:pPr>
              <w:rPr>
                <w:rFonts w:ascii="Times New Roman" w:hAnsi="Times New Roman" w:cs="Times New Roman"/>
                <w:b/>
                <w:sz w:val="24"/>
                <w:szCs w:val="24"/>
              </w:rPr>
            </w:pPr>
            <w:r>
              <w:rPr>
                <w:rFonts w:ascii="Times New Roman" w:hAnsi="Times New Roman" w:cs="Times New Roman"/>
                <w:b/>
                <w:sz w:val="24"/>
                <w:szCs w:val="24"/>
              </w:rPr>
              <w:t>Policy analysis</w:t>
            </w:r>
          </w:p>
        </w:tc>
        <w:tc>
          <w:tcPr>
            <w:tcW w:w="7743" w:type="dxa"/>
          </w:tcPr>
          <w:p w14:paraId="712E1DCD" w14:textId="497210A2" w:rsidR="00800B6A" w:rsidRDefault="00800B6A" w:rsidP="00C26ECE">
            <w:pPr>
              <w:rPr>
                <w:rFonts w:ascii="Times New Roman" w:hAnsi="Times New Roman" w:cs="Times New Roman"/>
                <w:sz w:val="24"/>
                <w:szCs w:val="24"/>
              </w:rPr>
            </w:pPr>
            <w:r w:rsidRPr="00FA6679">
              <w:rPr>
                <w:rFonts w:ascii="Times New Roman" w:hAnsi="Times New Roman" w:cs="Times New Roman"/>
                <w:sz w:val="24"/>
                <w:szCs w:val="24"/>
              </w:rPr>
              <w:t>There are numerous policy analysis definitions, reflecting a wide range of purposes, approaches, and types of analysis conducted</w:t>
            </w:r>
            <w:r w:rsidR="00937834">
              <w:rPr>
                <w:rFonts w:ascii="Times New Roman" w:hAnsi="Times New Roman" w:cs="Times New Roman" w:hint="eastAsia"/>
                <w:sz w:val="24"/>
                <w:szCs w:val="24"/>
                <w:lang w:eastAsia="ko-KR"/>
              </w:rPr>
              <w:t xml:space="preserve"> </w:t>
            </w:r>
            <w:r w:rsidR="001C74A6">
              <w:rPr>
                <w:rFonts w:ascii="Times New Roman" w:hAnsi="Times New Roman" w:cs="Times New Roman" w:hint="eastAsia"/>
                <w:sz w:val="24"/>
                <w:szCs w:val="24"/>
                <w:lang w:eastAsia="ko-KR"/>
              </w:rPr>
              <w:t>(</w:t>
            </w:r>
            <w:r w:rsidR="001C74A6" w:rsidRPr="007C0C08">
              <w:rPr>
                <w:rFonts w:ascii="Times New Roman" w:hAnsi="Times New Roman" w:cs="Times New Roman"/>
              </w:rPr>
              <w:t>Linquiti, 2022</w:t>
            </w:r>
            <w:r w:rsidR="001C74A6">
              <w:rPr>
                <w:rFonts w:ascii="Times New Roman" w:hAnsi="Times New Roman" w:cs="Times New Roman" w:hint="eastAsia"/>
                <w:lang w:eastAsia="ko-KR"/>
              </w:rPr>
              <w:t>)</w:t>
            </w:r>
            <w:r w:rsidRPr="00FA6679">
              <w:rPr>
                <w:rFonts w:ascii="Times New Roman" w:hAnsi="Times New Roman" w:cs="Times New Roman"/>
                <w:sz w:val="24"/>
                <w:szCs w:val="24"/>
              </w:rPr>
              <w:t>. An insightful definition that acknowledges the complexity and imprecise character of policy analysis, refers to it as the “consideration of available evidence, coupled with well-reasoned inferences, to illuminate trade-offs among available choices for exercising government power” with the purpose of enabling informed decision-making and the creation of effective policies that benefit those affected by them</w:t>
            </w:r>
            <w:r w:rsidR="001C74A6">
              <w:rPr>
                <w:rFonts w:ascii="Times New Roman" w:hAnsi="Times New Roman" w:cs="Times New Roman" w:hint="eastAsia"/>
                <w:sz w:val="24"/>
                <w:szCs w:val="24"/>
                <w:lang w:eastAsia="ko-KR"/>
              </w:rPr>
              <w:t xml:space="preserve"> </w:t>
            </w:r>
            <w:r w:rsidR="001C74A6" w:rsidRPr="001C74A6">
              <w:rPr>
                <w:rFonts w:ascii="Times New Roman" w:hAnsi="Times New Roman" w:cs="Times New Roman"/>
              </w:rPr>
              <w:t>(Linquiti, 2022, p. 9)</w:t>
            </w:r>
            <w:r>
              <w:rPr>
                <w:rFonts w:ascii="Times New Roman" w:hAnsi="Times New Roman" w:cs="Times New Roman"/>
                <w:sz w:val="24"/>
                <w:szCs w:val="24"/>
              </w:rPr>
              <w:t>.</w:t>
            </w:r>
            <w:r w:rsidR="001C74A6">
              <w:rPr>
                <w:rFonts w:ascii="Times New Roman" w:hAnsi="Times New Roman" w:cs="Times New Roman"/>
                <w:sz w:val="24"/>
                <w:szCs w:val="24"/>
              </w:rPr>
              <w:t xml:space="preserve"> </w:t>
            </w:r>
          </w:p>
          <w:p w14:paraId="113A2E32" w14:textId="26C749B7" w:rsidR="00800B6A" w:rsidRPr="00A15BAD" w:rsidRDefault="00800B6A" w:rsidP="00C26ECE">
            <w:pPr>
              <w:spacing w:before="240"/>
              <w:rPr>
                <w:rFonts w:ascii="Times New Roman" w:hAnsi="Times New Roman" w:cs="Times New Roman"/>
                <w:sz w:val="24"/>
                <w:szCs w:val="24"/>
              </w:rPr>
            </w:pPr>
            <w:r w:rsidRPr="00FA6679">
              <w:rPr>
                <w:rFonts w:ascii="Times New Roman" w:hAnsi="Times New Roman" w:cs="Times New Roman"/>
                <w:sz w:val="24"/>
                <w:szCs w:val="24"/>
              </w:rPr>
              <w:t>Consistent with an increasing preoccupation of researchers with structural causes and manifestations of discrimination and oppression</w:t>
            </w:r>
            <w:r w:rsidR="00424810">
              <w:rPr>
                <w:rFonts w:ascii="Times New Roman" w:hAnsi="Times New Roman" w:cs="Times New Roman" w:hint="eastAsia"/>
                <w:sz w:val="24"/>
                <w:szCs w:val="24"/>
                <w:lang w:eastAsia="ko-KR"/>
              </w:rPr>
              <w:t xml:space="preserve"> </w:t>
            </w:r>
            <w:r w:rsidR="00424810">
              <w:rPr>
                <w:rFonts w:ascii="Times New Roman" w:hAnsi="Times New Roman" w:cs="Times New Roman" w:hint="eastAsia"/>
                <w:sz w:val="24"/>
                <w:szCs w:val="24"/>
                <w:lang w:eastAsia="ko-KR"/>
              </w:rPr>
              <w:t>(</w:t>
            </w:r>
            <w:r w:rsidR="00424810" w:rsidRPr="007C0C08">
              <w:rPr>
                <w:rFonts w:ascii="Times New Roman" w:hAnsi="Times New Roman" w:cs="Times New Roman"/>
              </w:rPr>
              <w:t>Venkateswaran</w:t>
            </w:r>
            <w:r w:rsidR="00424810">
              <w:rPr>
                <w:rFonts w:ascii="Times New Roman" w:hAnsi="Times New Roman" w:cs="Times New Roman" w:hint="eastAsia"/>
                <w:lang w:eastAsia="ko-KR"/>
              </w:rPr>
              <w:t xml:space="preserve"> et al., 2023</w:t>
            </w:r>
            <w:r w:rsidR="00424810">
              <w:rPr>
                <w:rFonts w:ascii="Times New Roman" w:hAnsi="Times New Roman" w:cs="Times New Roman" w:hint="eastAsia"/>
                <w:lang w:eastAsia="ko-KR"/>
              </w:rPr>
              <w:t xml:space="preserve">; </w:t>
            </w:r>
            <w:r w:rsidR="0075415A" w:rsidRPr="007C0C08">
              <w:rPr>
                <w:rFonts w:ascii="Times New Roman" w:hAnsi="Times New Roman" w:cs="Times New Roman"/>
              </w:rPr>
              <w:t>Kapadia &amp; Borrell, 2023</w:t>
            </w:r>
            <w:r w:rsidR="0075415A">
              <w:rPr>
                <w:rFonts w:ascii="Times New Roman" w:hAnsi="Times New Roman" w:cs="Times New Roman" w:hint="eastAsia"/>
                <w:lang w:eastAsia="ko-KR"/>
              </w:rPr>
              <w:t xml:space="preserve">; </w:t>
            </w:r>
            <w:r w:rsidR="00E4506C" w:rsidRPr="007C0C08">
              <w:rPr>
                <w:rFonts w:ascii="Times New Roman" w:hAnsi="Times New Roman" w:cs="Times New Roman"/>
              </w:rPr>
              <w:t>Torres</w:t>
            </w:r>
            <w:r w:rsidR="00E4506C">
              <w:rPr>
                <w:rFonts w:ascii="Times New Roman" w:hAnsi="Times New Roman" w:cs="Times New Roman" w:hint="eastAsia"/>
                <w:lang w:eastAsia="ko-KR"/>
              </w:rPr>
              <w:t xml:space="preserve"> et al., 2022)</w:t>
            </w:r>
            <w:r>
              <w:rPr>
                <w:rFonts w:ascii="Times New Roman" w:hAnsi="Times New Roman" w:cs="Times New Roman"/>
                <w:sz w:val="24"/>
                <w:szCs w:val="24"/>
              </w:rPr>
              <w:t>,</w:t>
            </w:r>
            <w:r w:rsidRPr="00FA6679">
              <w:rPr>
                <w:rFonts w:ascii="Times New Roman" w:hAnsi="Times New Roman" w:cs="Times New Roman"/>
                <w:sz w:val="24"/>
                <w:szCs w:val="24"/>
              </w:rPr>
              <w:t xml:space="preserve"> in addition to a general focus on the impact of policies on populations as a whole, policy analysis is now increasingly focused on understanding the ways in which policies may affect population groups differently and thus, inadvertently, contribute to the creation of social and health </w:t>
            </w:r>
            <w:r w:rsidR="004D6BCC">
              <w:rPr>
                <w:rFonts w:ascii="Times New Roman" w:hAnsi="Times New Roman" w:cs="Times New Roman"/>
                <w:sz w:val="24"/>
                <w:szCs w:val="24"/>
              </w:rPr>
              <w:t>inequities</w:t>
            </w:r>
            <w:r w:rsidR="00C92356">
              <w:rPr>
                <w:rFonts w:ascii="Times New Roman" w:hAnsi="Times New Roman" w:cs="Times New Roman" w:hint="eastAsia"/>
                <w:sz w:val="24"/>
                <w:szCs w:val="24"/>
                <w:lang w:eastAsia="ko-KR"/>
              </w:rPr>
              <w:t xml:space="preserve"> </w:t>
            </w:r>
            <w:r w:rsidR="00C92356" w:rsidRPr="0009708F">
              <w:rPr>
                <w:rFonts w:ascii="Times New Roman" w:hAnsi="Times New Roman" w:cs="Times New Roman" w:hint="eastAsia"/>
                <w:lang w:eastAsia="ko-KR"/>
              </w:rPr>
              <w:t xml:space="preserve">(ILO &amp; UNW, 2021; </w:t>
            </w:r>
            <w:r w:rsidR="0009708F" w:rsidRPr="0009708F">
              <w:rPr>
                <w:rFonts w:ascii="Times New Roman" w:hAnsi="Times New Roman" w:cs="Times New Roman"/>
              </w:rPr>
              <w:t>Persaud</w:t>
            </w:r>
            <w:r w:rsidR="0009708F" w:rsidRPr="0009708F">
              <w:rPr>
                <w:rFonts w:ascii="Times New Roman" w:hAnsi="Times New Roman" w:cs="Times New Roman" w:hint="eastAsia"/>
                <w:lang w:eastAsia="ko-KR"/>
              </w:rPr>
              <w:t xml:space="preserve"> et al</w:t>
            </w:r>
            <w:r w:rsidRPr="0009708F">
              <w:rPr>
                <w:rFonts w:ascii="Times New Roman" w:hAnsi="Times New Roman" w:cs="Times New Roman"/>
              </w:rPr>
              <w:t>.</w:t>
            </w:r>
            <w:r w:rsidR="0009708F">
              <w:rPr>
                <w:rFonts w:ascii="Times New Roman" w:hAnsi="Times New Roman" w:cs="Times New Roman" w:hint="eastAsia"/>
                <w:lang w:eastAsia="ko-KR"/>
              </w:rPr>
              <w:t>, 2021)</w:t>
            </w:r>
            <w:r w:rsidR="0009708F" w:rsidRPr="00A15BAD">
              <w:rPr>
                <w:rFonts w:ascii="Times New Roman" w:hAnsi="Times New Roman" w:cs="Times New Roman"/>
                <w:sz w:val="24"/>
                <w:szCs w:val="24"/>
              </w:rPr>
              <w:t xml:space="preserve"> </w:t>
            </w:r>
          </w:p>
        </w:tc>
      </w:tr>
      <w:bookmarkEnd w:id="0"/>
    </w:tbl>
    <w:p w14:paraId="40A12B01" w14:textId="77777777" w:rsidR="00800B6A" w:rsidRDefault="00800B6A">
      <w:pPr>
        <w:rPr>
          <w:lang w:val="en-CA"/>
        </w:rPr>
      </w:pPr>
    </w:p>
    <w:p w14:paraId="01FBA128" w14:textId="77777777" w:rsidR="00800B6A" w:rsidRPr="00800B6A" w:rsidRDefault="00800B6A">
      <w:pPr>
        <w:rPr>
          <w:rFonts w:ascii="Times New Roman" w:hAnsi="Times New Roman" w:cs="Times New Roman"/>
          <w:sz w:val="24"/>
          <w:szCs w:val="24"/>
          <w:lang w:val="en-CA"/>
        </w:rPr>
      </w:pPr>
      <w:r w:rsidRPr="00800B6A">
        <w:rPr>
          <w:rFonts w:ascii="Times New Roman" w:hAnsi="Times New Roman" w:cs="Times New Roman"/>
          <w:sz w:val="24"/>
          <w:szCs w:val="24"/>
          <w:lang w:val="en-CA"/>
        </w:rPr>
        <w:t>References</w:t>
      </w:r>
    </w:p>
    <w:p w14:paraId="276C352D" w14:textId="45332FF7" w:rsidR="00A93C0A" w:rsidRDefault="00A93C0A" w:rsidP="002177D3">
      <w:pPr>
        <w:spacing w:line="278" w:lineRule="auto"/>
        <w:ind w:left="720" w:hanging="720"/>
        <w:rPr>
          <w:rFonts w:ascii="Times New Roman" w:hAnsi="Times New Roman" w:cs="Times New Roman"/>
        </w:rPr>
      </w:pPr>
      <w:r w:rsidRPr="00A93C0A">
        <w:rPr>
          <w:rFonts w:ascii="Times New Roman" w:hAnsi="Times New Roman" w:cs="Times New Roman"/>
        </w:rPr>
        <w:t>Allison, R., &amp; Banerjee, P. (2014). Intersectionality and social location in organization studies, 1990-2009. </w:t>
      </w:r>
      <w:r w:rsidRPr="00A93C0A">
        <w:rPr>
          <w:rFonts w:ascii="Times New Roman" w:hAnsi="Times New Roman" w:cs="Times New Roman"/>
          <w:i/>
          <w:iCs/>
        </w:rPr>
        <w:t>Race, Gender &amp; Class</w:t>
      </w:r>
      <w:r w:rsidRPr="00A93C0A">
        <w:rPr>
          <w:rFonts w:ascii="Times New Roman" w:hAnsi="Times New Roman" w:cs="Times New Roman"/>
        </w:rPr>
        <w:t>, 67-87.</w:t>
      </w:r>
    </w:p>
    <w:p w14:paraId="085BA4D0" w14:textId="1CF48689" w:rsidR="00A93C0A" w:rsidRDefault="00A93C0A" w:rsidP="00A93C0A">
      <w:pPr>
        <w:ind w:left="720" w:hanging="720"/>
      </w:pPr>
      <w:r w:rsidRPr="007C0C08">
        <w:rPr>
          <w:rFonts w:ascii="Times New Roman" w:hAnsi="Times New Roman" w:cs="Times New Roman"/>
        </w:rPr>
        <w:t>International Labour Organization</w:t>
      </w:r>
      <w:r w:rsidR="00C92356">
        <w:rPr>
          <w:rFonts w:ascii="Times New Roman" w:hAnsi="Times New Roman" w:cs="Times New Roman" w:hint="eastAsia"/>
          <w:lang w:eastAsia="ko-KR"/>
        </w:rPr>
        <w:t xml:space="preserve"> [ILO]</w:t>
      </w:r>
      <w:r w:rsidRPr="007C0C08">
        <w:rPr>
          <w:rFonts w:ascii="Times New Roman" w:hAnsi="Times New Roman" w:cs="Times New Roman"/>
        </w:rPr>
        <w:t>, &amp; United Nations Women</w:t>
      </w:r>
      <w:r w:rsidR="00C92356">
        <w:rPr>
          <w:rFonts w:ascii="Times New Roman" w:hAnsi="Times New Roman" w:cs="Times New Roman" w:hint="eastAsia"/>
          <w:lang w:eastAsia="ko-KR"/>
        </w:rPr>
        <w:t xml:space="preserve"> [UNW]</w:t>
      </w:r>
      <w:r w:rsidRPr="007C0C08">
        <w:rPr>
          <w:rFonts w:ascii="Times New Roman" w:hAnsi="Times New Roman" w:cs="Times New Roman"/>
        </w:rPr>
        <w:t xml:space="preserve">. (2021). </w:t>
      </w:r>
      <w:r w:rsidRPr="007C0C08">
        <w:rPr>
          <w:rFonts w:ascii="Times New Roman" w:hAnsi="Times New Roman" w:cs="Times New Roman"/>
          <w:i/>
          <w:iCs/>
        </w:rPr>
        <w:t>Assessing the gendered employment impacts of COVID-19 and supporting a gender-responsive recovery: A country-level policy tool</w:t>
      </w:r>
      <w:r w:rsidRPr="007C0C08">
        <w:rPr>
          <w:rFonts w:ascii="Times New Roman" w:hAnsi="Times New Roman" w:cs="Times New Roman"/>
        </w:rPr>
        <w:t xml:space="preserve">. </w:t>
      </w:r>
      <w:hyperlink r:id="rId9" w:history="1">
        <w:r w:rsidRPr="007C0C08">
          <w:rPr>
            <w:rStyle w:val="Hyperlink"/>
            <w:rFonts w:ascii="Times New Roman" w:hAnsi="Times New Roman" w:cs="Times New Roman"/>
          </w:rPr>
          <w:t>https://www.ilo.org/wcmsp5/groups/public/---ed_emp/documents/publication/wcms_778847.pdf</w:t>
        </w:r>
      </w:hyperlink>
    </w:p>
    <w:p w14:paraId="3ECE61F4" w14:textId="77777777" w:rsidR="00A93C0A" w:rsidRDefault="00A93C0A" w:rsidP="00A93C0A">
      <w:pPr>
        <w:ind w:left="720" w:hanging="720"/>
        <w:rPr>
          <w:rFonts w:ascii="Times New Roman" w:hAnsi="Times New Roman" w:cs="Times New Roman"/>
        </w:rPr>
      </w:pPr>
      <w:r w:rsidRPr="00A93C0A">
        <w:rPr>
          <w:rFonts w:ascii="Times New Roman" w:hAnsi="Times New Roman" w:cs="Times New Roman"/>
        </w:rPr>
        <w:t>Jenkins, R. (2008). </w:t>
      </w:r>
      <w:r w:rsidRPr="00A93C0A">
        <w:rPr>
          <w:rFonts w:ascii="Times New Roman" w:hAnsi="Times New Roman" w:cs="Times New Roman"/>
          <w:i/>
          <w:iCs/>
        </w:rPr>
        <w:t>Social identity</w:t>
      </w:r>
      <w:r w:rsidRPr="00A93C0A">
        <w:rPr>
          <w:rFonts w:ascii="Times New Roman" w:hAnsi="Times New Roman" w:cs="Times New Roman"/>
        </w:rPr>
        <w:t> (3rd ed.). Routledge/Taylor &amp; Francis Group.</w:t>
      </w:r>
    </w:p>
    <w:p w14:paraId="0E90B5CB" w14:textId="77777777" w:rsidR="00A93C0A" w:rsidRPr="007C0C08" w:rsidRDefault="00A93C0A" w:rsidP="00A93C0A">
      <w:pPr>
        <w:spacing w:line="278" w:lineRule="auto"/>
        <w:ind w:left="720" w:hanging="720"/>
        <w:rPr>
          <w:rFonts w:ascii="Times New Roman" w:hAnsi="Times New Roman" w:cs="Times New Roman"/>
        </w:rPr>
      </w:pPr>
      <w:r w:rsidRPr="007C0C08">
        <w:rPr>
          <w:rFonts w:ascii="Times New Roman" w:hAnsi="Times New Roman" w:cs="Times New Roman"/>
        </w:rPr>
        <w:t xml:space="preserve">Kapadia, F., &amp; Borrell, L. N. (2023). Structural racism and health inequities: Moving from evidence to action. </w:t>
      </w:r>
      <w:r w:rsidRPr="007C0C08">
        <w:rPr>
          <w:rFonts w:ascii="Times New Roman" w:hAnsi="Times New Roman" w:cs="Times New Roman"/>
          <w:i/>
          <w:iCs/>
        </w:rPr>
        <w:t>American Journal of Public Health, 113</w:t>
      </w:r>
      <w:r w:rsidRPr="007C0C08">
        <w:rPr>
          <w:rFonts w:ascii="Times New Roman" w:hAnsi="Times New Roman" w:cs="Times New Roman"/>
        </w:rPr>
        <w:t xml:space="preserve">(S1), S6–S9. </w:t>
      </w:r>
      <w:hyperlink r:id="rId10" w:history="1">
        <w:r w:rsidRPr="007C0C08">
          <w:rPr>
            <w:rStyle w:val="Hyperlink"/>
            <w:rFonts w:ascii="Times New Roman" w:hAnsi="Times New Roman" w:cs="Times New Roman"/>
          </w:rPr>
          <w:t>https://doi.org/10.2105/AJPH.2022.307174</w:t>
        </w:r>
      </w:hyperlink>
    </w:p>
    <w:p w14:paraId="335BDC91" w14:textId="77777777" w:rsidR="00A93C0A" w:rsidRPr="007C0C08" w:rsidRDefault="00A93C0A" w:rsidP="00A93C0A">
      <w:pPr>
        <w:spacing w:line="278" w:lineRule="auto"/>
        <w:ind w:left="720" w:hanging="720"/>
        <w:rPr>
          <w:rFonts w:ascii="Times New Roman" w:hAnsi="Times New Roman" w:cs="Times New Roman"/>
        </w:rPr>
      </w:pPr>
      <w:r w:rsidRPr="007C0C08">
        <w:rPr>
          <w:rFonts w:ascii="Times New Roman" w:hAnsi="Times New Roman" w:cs="Times New Roman"/>
        </w:rPr>
        <w:t>Linquiti, P. (2022).</w:t>
      </w:r>
      <w:r>
        <w:rPr>
          <w:rFonts w:ascii="Times New Roman" w:hAnsi="Times New Roman" w:cs="Times New Roman" w:hint="eastAsia"/>
        </w:rPr>
        <w:t xml:space="preserve"> </w:t>
      </w:r>
      <w:r w:rsidRPr="007C0C08">
        <w:rPr>
          <w:rFonts w:ascii="Times New Roman" w:hAnsi="Times New Roman" w:cs="Times New Roman"/>
          <w:i/>
          <w:iCs/>
        </w:rPr>
        <w:t>Rebooting policy analysis: Strengthening the foundation, expanding the scope</w:t>
      </w:r>
      <w:r w:rsidRPr="007C0C08">
        <w:rPr>
          <w:rFonts w:ascii="Times New Roman" w:hAnsi="Times New Roman" w:cs="Times New Roman"/>
        </w:rPr>
        <w:t>. CQ Press.</w:t>
      </w:r>
    </w:p>
    <w:p w14:paraId="5EB03698" w14:textId="77777777" w:rsidR="00A93C0A" w:rsidRPr="007C0C08" w:rsidRDefault="00A93C0A" w:rsidP="00A93C0A">
      <w:pPr>
        <w:spacing w:line="278" w:lineRule="auto"/>
        <w:ind w:left="720" w:hanging="720"/>
        <w:rPr>
          <w:rFonts w:ascii="Times New Roman" w:hAnsi="Times New Roman" w:cs="Times New Roman"/>
        </w:rPr>
      </w:pPr>
      <w:r w:rsidRPr="007C0C08">
        <w:rPr>
          <w:rFonts w:ascii="Times New Roman" w:hAnsi="Times New Roman" w:cs="Times New Roman"/>
        </w:rPr>
        <w:t xml:space="preserve">Persaud, N., Woods, H., Workentin, A., Adekoya, I., Dunn, J. R., Hwang, S. W., … Werb, D. (2021). Recommendations for equitable COVID-19 pandemic recovery in Canada. </w:t>
      </w:r>
      <w:r w:rsidRPr="007C0C08">
        <w:rPr>
          <w:rFonts w:ascii="Times New Roman" w:hAnsi="Times New Roman" w:cs="Times New Roman"/>
          <w:i/>
          <w:iCs/>
        </w:rPr>
        <w:t>CMAJ, 193</w:t>
      </w:r>
      <w:r w:rsidRPr="007C0C08">
        <w:rPr>
          <w:rFonts w:ascii="Times New Roman" w:hAnsi="Times New Roman" w:cs="Times New Roman"/>
        </w:rPr>
        <w:t xml:space="preserve">(49), E1878–E1888. </w:t>
      </w:r>
      <w:hyperlink r:id="rId11" w:history="1">
        <w:r w:rsidRPr="007C0C08">
          <w:rPr>
            <w:rStyle w:val="Hyperlink"/>
            <w:rFonts w:ascii="Times New Roman" w:hAnsi="Times New Roman" w:cs="Times New Roman"/>
          </w:rPr>
          <w:t>https://doi.org/10.1503/cmaj.210904</w:t>
        </w:r>
      </w:hyperlink>
    </w:p>
    <w:p w14:paraId="06A2D26B" w14:textId="17EE2E20" w:rsidR="002177D3" w:rsidRPr="007C0C08" w:rsidRDefault="002177D3" w:rsidP="002177D3">
      <w:pPr>
        <w:spacing w:line="278" w:lineRule="auto"/>
        <w:ind w:left="720" w:hanging="720"/>
        <w:rPr>
          <w:rFonts w:ascii="Times New Roman" w:hAnsi="Times New Roman" w:cs="Times New Roman"/>
        </w:rPr>
      </w:pPr>
      <w:r w:rsidRPr="007C0C08">
        <w:rPr>
          <w:rFonts w:ascii="Times New Roman" w:hAnsi="Times New Roman" w:cs="Times New Roman"/>
        </w:rPr>
        <w:lastRenderedPageBreak/>
        <w:t xml:space="preserve">Thompson, N. (2003). Discrimination and oppression. In N. Thompson (Ed.), </w:t>
      </w:r>
      <w:r w:rsidRPr="007C0C08">
        <w:rPr>
          <w:rFonts w:ascii="Times New Roman" w:hAnsi="Times New Roman" w:cs="Times New Roman"/>
          <w:i/>
          <w:iCs/>
        </w:rPr>
        <w:t>Promoting equality: Challenging discrimination and oppression</w:t>
      </w:r>
      <w:r w:rsidRPr="007C0C08">
        <w:rPr>
          <w:rFonts w:ascii="Times New Roman" w:hAnsi="Times New Roman" w:cs="Times New Roman"/>
        </w:rPr>
        <w:t xml:space="preserve"> (2nd ed., pp. 81–113). Palgrave Macmillan.</w:t>
      </w:r>
    </w:p>
    <w:p w14:paraId="7D4B6768" w14:textId="77777777" w:rsidR="0006373C" w:rsidRPr="007C0C08" w:rsidRDefault="0006373C" w:rsidP="0006373C">
      <w:pPr>
        <w:spacing w:line="278" w:lineRule="auto"/>
        <w:ind w:left="720" w:hanging="720"/>
        <w:rPr>
          <w:rFonts w:ascii="Times New Roman" w:hAnsi="Times New Roman" w:cs="Times New Roman"/>
        </w:rPr>
      </w:pPr>
      <w:r w:rsidRPr="007C0C08">
        <w:rPr>
          <w:rFonts w:ascii="Times New Roman" w:hAnsi="Times New Roman" w:cs="Times New Roman"/>
        </w:rPr>
        <w:t xml:space="preserve">Torres, S. A., Sosa, S. S., Flores Toussaint, R. J., Jolie, S., &amp; Bustos, Y. (2022). Systems of oppression: The impact of discrimination on Latinx immigrant adolescents’ well-being and development. </w:t>
      </w:r>
      <w:r w:rsidRPr="007C0C08">
        <w:rPr>
          <w:rFonts w:ascii="Times New Roman" w:hAnsi="Times New Roman" w:cs="Times New Roman"/>
          <w:i/>
          <w:iCs/>
        </w:rPr>
        <w:t>Journal of Research on Adolescence, 32</w:t>
      </w:r>
      <w:r w:rsidRPr="007C0C08">
        <w:rPr>
          <w:rFonts w:ascii="Times New Roman" w:hAnsi="Times New Roman" w:cs="Times New Roman"/>
        </w:rPr>
        <w:t xml:space="preserve">(2), 501–517. </w:t>
      </w:r>
      <w:hyperlink r:id="rId12" w:history="1">
        <w:r w:rsidRPr="007C0C08">
          <w:rPr>
            <w:rStyle w:val="Hyperlink"/>
            <w:rFonts w:ascii="Times New Roman" w:hAnsi="Times New Roman" w:cs="Times New Roman"/>
          </w:rPr>
          <w:t>https://doi.org/10.1111/jora.12751</w:t>
        </w:r>
      </w:hyperlink>
    </w:p>
    <w:p w14:paraId="7B69B0C1" w14:textId="77777777" w:rsidR="00A93C0A" w:rsidRPr="007C0C08" w:rsidRDefault="00A93C0A" w:rsidP="00A93C0A">
      <w:pPr>
        <w:spacing w:line="278" w:lineRule="auto"/>
        <w:ind w:left="720" w:hanging="720"/>
        <w:rPr>
          <w:rFonts w:ascii="Times New Roman" w:hAnsi="Times New Roman" w:cs="Times New Roman"/>
        </w:rPr>
      </w:pPr>
      <w:r w:rsidRPr="007C0C08">
        <w:rPr>
          <w:rFonts w:ascii="Times New Roman" w:hAnsi="Times New Roman" w:cs="Times New Roman"/>
        </w:rPr>
        <w:t xml:space="preserve">Venkateswaran, N., Feldman, J., Hawkins, S., Lewis, M. A., Armstrong-Brown, J., Comfort, M., … Pineda, D. (2023). Bringing an equity-centered framework to research. </w:t>
      </w:r>
      <w:hyperlink r:id="rId13" w:history="1">
        <w:r w:rsidRPr="007C0C08">
          <w:rPr>
            <w:rStyle w:val="Hyperlink"/>
            <w:rFonts w:ascii="Times New Roman" w:hAnsi="Times New Roman" w:cs="Times New Roman"/>
          </w:rPr>
          <w:t>https://doi.org/10.3768/rtipress.2023.op.0085.2301</w:t>
        </w:r>
      </w:hyperlink>
    </w:p>
    <w:p w14:paraId="6292293B" w14:textId="77777777" w:rsidR="00A93C0A" w:rsidRDefault="00A93C0A" w:rsidP="002177D3">
      <w:pPr>
        <w:pStyle w:val="EndNoteBibliography"/>
        <w:ind w:left="567" w:hanging="567"/>
        <w:rPr>
          <w:lang w:val="en-CA"/>
        </w:rPr>
      </w:pPr>
      <w:r w:rsidRPr="00A93C0A">
        <w:rPr>
          <w:rFonts w:ascii="Times New Roman" w:hAnsi="Times New Roman" w:cs="Times New Roman"/>
        </w:rPr>
        <w:t>Wiley, S. (Ed.). (2012). Building solidarity across difference: Social identity, intersectionality, and collective action for social change. In S. Wiley, G. Philogène, &amp; T. A. Revenson (Eds.), </w:t>
      </w:r>
      <w:r w:rsidRPr="00A93C0A">
        <w:rPr>
          <w:rFonts w:ascii="Times New Roman" w:hAnsi="Times New Roman" w:cs="Times New Roman"/>
          <w:i/>
          <w:iCs/>
        </w:rPr>
        <w:t>Social categories in everyday experience</w:t>
      </w:r>
      <w:r w:rsidRPr="00A93C0A">
        <w:rPr>
          <w:rFonts w:ascii="Times New Roman" w:hAnsi="Times New Roman" w:cs="Times New Roman"/>
        </w:rPr>
        <w:t> (pp. 189–204). American Psychological Association. </w:t>
      </w:r>
      <w:hyperlink r:id="rId14" w:tgtFrame="_blank" w:history="1">
        <w:r w:rsidRPr="00A93C0A">
          <w:rPr>
            <w:rStyle w:val="Hyperlink"/>
            <w:rFonts w:ascii="Times New Roman" w:hAnsi="Times New Roman" w:cs="Times New Roman"/>
          </w:rPr>
          <w:t>https://doi.org/10.1037/13488-010</w:t>
        </w:r>
      </w:hyperlink>
    </w:p>
    <w:p w14:paraId="1C449DFE" w14:textId="2A3BAF02" w:rsidR="00A93C0A" w:rsidRPr="007C0C08" w:rsidRDefault="00A93C0A" w:rsidP="00A93C0A">
      <w:pPr>
        <w:spacing w:line="278" w:lineRule="auto"/>
        <w:ind w:left="720" w:hanging="720"/>
        <w:rPr>
          <w:rFonts w:ascii="Times New Roman" w:hAnsi="Times New Roman" w:cs="Times New Roman"/>
        </w:rPr>
      </w:pPr>
      <w:r w:rsidRPr="007C0C08">
        <w:rPr>
          <w:rFonts w:ascii="Times New Roman" w:hAnsi="Times New Roman" w:cs="Times New Roman"/>
        </w:rPr>
        <w:t>World Health Organization</w:t>
      </w:r>
      <w:r w:rsidR="00E36200">
        <w:rPr>
          <w:rFonts w:ascii="Times New Roman" w:hAnsi="Times New Roman" w:cs="Times New Roman" w:hint="eastAsia"/>
          <w:lang w:eastAsia="ko-KR"/>
        </w:rPr>
        <w:t xml:space="preserve"> [WHO] </w:t>
      </w:r>
      <w:r w:rsidR="00E36200" w:rsidRPr="00800B6A">
        <w:rPr>
          <w:rFonts w:ascii="Times New Roman" w:hAnsi="Times New Roman" w:cs="Times New Roman"/>
          <w:sz w:val="24"/>
          <w:szCs w:val="24"/>
        </w:rPr>
        <w:t>Commission on Social Determinants of Health</w:t>
      </w:r>
      <w:r w:rsidRPr="007C0C08">
        <w:rPr>
          <w:rFonts w:ascii="Times New Roman" w:hAnsi="Times New Roman" w:cs="Times New Roman"/>
        </w:rPr>
        <w:t xml:space="preserve">. (2008). </w:t>
      </w:r>
      <w:r w:rsidRPr="007C0C08">
        <w:rPr>
          <w:rFonts w:ascii="Times New Roman" w:hAnsi="Times New Roman" w:cs="Times New Roman"/>
          <w:i/>
          <w:iCs/>
        </w:rPr>
        <w:t>Closing the gap in a generation: Health equity through action on the social determinants of health</w:t>
      </w:r>
      <w:r w:rsidRPr="007C0C08">
        <w:rPr>
          <w:rFonts w:ascii="Times New Roman" w:hAnsi="Times New Roman" w:cs="Times New Roman"/>
        </w:rPr>
        <w:t>.</w:t>
      </w:r>
    </w:p>
    <w:p w14:paraId="0C3B7D45" w14:textId="7066543D" w:rsidR="002177D3" w:rsidRPr="002177D3" w:rsidRDefault="002177D3" w:rsidP="00A93C0A">
      <w:pPr>
        <w:pStyle w:val="EndNoteBibliography"/>
        <w:ind w:left="567" w:hanging="567"/>
      </w:pPr>
    </w:p>
    <w:p w14:paraId="3B5AEB52" w14:textId="61417C75" w:rsidR="002177D3" w:rsidRPr="002177D3" w:rsidRDefault="002177D3" w:rsidP="002177D3">
      <w:pPr>
        <w:pStyle w:val="EndNoteBibliography"/>
        <w:spacing w:after="0"/>
        <w:ind w:left="567" w:hanging="567"/>
        <w:rPr>
          <w:lang w:val="en-CA"/>
        </w:rPr>
      </w:pPr>
    </w:p>
    <w:p w14:paraId="297AAFB3" w14:textId="449888CB" w:rsidR="00800B6A" w:rsidRPr="00800B6A" w:rsidRDefault="00800B6A" w:rsidP="002177D3">
      <w:pPr>
        <w:pStyle w:val="EndNoteBibliography"/>
        <w:spacing w:after="0"/>
        <w:ind w:left="567" w:hanging="567"/>
        <w:rPr>
          <w:lang w:val="en-CA"/>
        </w:rPr>
      </w:pPr>
    </w:p>
    <w:sectPr w:rsidR="00800B6A" w:rsidRPr="00800B6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8448" w14:textId="77777777" w:rsidR="003C42DB" w:rsidRDefault="003C42DB" w:rsidP="002177D3">
      <w:pPr>
        <w:spacing w:after="0" w:line="240" w:lineRule="auto"/>
      </w:pPr>
      <w:r>
        <w:separator/>
      </w:r>
    </w:p>
  </w:endnote>
  <w:endnote w:type="continuationSeparator" w:id="0">
    <w:p w14:paraId="0DEB8C2E" w14:textId="77777777" w:rsidR="003C42DB" w:rsidRDefault="003C42DB" w:rsidP="0021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0D40" w14:textId="77777777" w:rsidR="003C42DB" w:rsidRDefault="003C42DB" w:rsidP="002177D3">
      <w:pPr>
        <w:spacing w:after="0" w:line="240" w:lineRule="auto"/>
      </w:pPr>
      <w:r>
        <w:separator/>
      </w:r>
    </w:p>
  </w:footnote>
  <w:footnote w:type="continuationSeparator" w:id="0">
    <w:p w14:paraId="06A0D8CD" w14:textId="77777777" w:rsidR="003C42DB" w:rsidRDefault="003C42DB" w:rsidP="002177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00B6A"/>
    <w:rsid w:val="0006373C"/>
    <w:rsid w:val="0009708F"/>
    <w:rsid w:val="001520C6"/>
    <w:rsid w:val="001C74A6"/>
    <w:rsid w:val="00210EC4"/>
    <w:rsid w:val="002177D3"/>
    <w:rsid w:val="003C42DB"/>
    <w:rsid w:val="00424810"/>
    <w:rsid w:val="00466719"/>
    <w:rsid w:val="004D6BCC"/>
    <w:rsid w:val="0075415A"/>
    <w:rsid w:val="00764293"/>
    <w:rsid w:val="00800B6A"/>
    <w:rsid w:val="008972A1"/>
    <w:rsid w:val="00937834"/>
    <w:rsid w:val="00A93C0A"/>
    <w:rsid w:val="00B70723"/>
    <w:rsid w:val="00BA03CF"/>
    <w:rsid w:val="00C92356"/>
    <w:rsid w:val="00D5331F"/>
    <w:rsid w:val="00DC69AE"/>
    <w:rsid w:val="00E36200"/>
    <w:rsid w:val="00E4506C"/>
    <w:rsid w:val="00E6739A"/>
    <w:rsid w:val="00FE348C"/>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8971"/>
  <w15:chartTrackingRefBased/>
  <w15:docId w15:val="{76C857F8-7618-4AF9-AE9E-E67F684D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00B6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00B6A"/>
    <w:rPr>
      <w:rFonts w:ascii="Calibri" w:hAnsi="Calibri" w:cs="Calibri"/>
      <w:noProof/>
      <w:lang w:val="en-US"/>
    </w:rPr>
  </w:style>
  <w:style w:type="paragraph" w:customStyle="1" w:styleId="EndNoteBibliography">
    <w:name w:val="EndNote Bibliography"/>
    <w:basedOn w:val="Normal"/>
    <w:link w:val="EndNoteBibliographyChar"/>
    <w:rsid w:val="00800B6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00B6A"/>
    <w:rPr>
      <w:rFonts w:ascii="Calibri" w:hAnsi="Calibri" w:cs="Calibri"/>
      <w:noProof/>
      <w:lang w:val="en-US"/>
    </w:rPr>
  </w:style>
  <w:style w:type="character" w:styleId="Hyperlink">
    <w:name w:val="Hyperlink"/>
    <w:basedOn w:val="DefaultParagraphFont"/>
    <w:uiPriority w:val="99"/>
    <w:unhideWhenUsed/>
    <w:rsid w:val="00800B6A"/>
    <w:rPr>
      <w:color w:val="0563C1" w:themeColor="hyperlink"/>
      <w:u w:val="single"/>
    </w:rPr>
  </w:style>
  <w:style w:type="character" w:styleId="UnresolvedMention">
    <w:name w:val="Unresolved Mention"/>
    <w:basedOn w:val="DefaultParagraphFont"/>
    <w:uiPriority w:val="99"/>
    <w:semiHidden/>
    <w:unhideWhenUsed/>
    <w:rsid w:val="00800B6A"/>
    <w:rPr>
      <w:color w:val="605E5C"/>
      <w:shd w:val="clear" w:color="auto" w:fill="E1DFDD"/>
    </w:rPr>
  </w:style>
  <w:style w:type="paragraph" w:styleId="Header">
    <w:name w:val="header"/>
    <w:basedOn w:val="Normal"/>
    <w:link w:val="HeaderChar"/>
    <w:uiPriority w:val="99"/>
    <w:unhideWhenUsed/>
    <w:rsid w:val="002177D3"/>
    <w:pPr>
      <w:tabs>
        <w:tab w:val="center" w:pos="4513"/>
        <w:tab w:val="right" w:pos="9026"/>
      </w:tabs>
      <w:snapToGrid w:val="0"/>
    </w:pPr>
  </w:style>
  <w:style w:type="character" w:customStyle="1" w:styleId="HeaderChar">
    <w:name w:val="Header Char"/>
    <w:basedOn w:val="DefaultParagraphFont"/>
    <w:link w:val="Header"/>
    <w:uiPriority w:val="99"/>
    <w:rsid w:val="002177D3"/>
    <w:rPr>
      <w:lang w:val="en-US"/>
    </w:rPr>
  </w:style>
  <w:style w:type="paragraph" w:styleId="Footer">
    <w:name w:val="footer"/>
    <w:basedOn w:val="Normal"/>
    <w:link w:val="FooterChar"/>
    <w:uiPriority w:val="99"/>
    <w:unhideWhenUsed/>
    <w:rsid w:val="002177D3"/>
    <w:pPr>
      <w:tabs>
        <w:tab w:val="center" w:pos="4513"/>
        <w:tab w:val="right" w:pos="9026"/>
      </w:tabs>
      <w:snapToGrid w:val="0"/>
    </w:pPr>
  </w:style>
  <w:style w:type="character" w:customStyle="1" w:styleId="FooterChar">
    <w:name w:val="Footer Char"/>
    <w:basedOn w:val="DefaultParagraphFont"/>
    <w:link w:val="Footer"/>
    <w:uiPriority w:val="99"/>
    <w:rsid w:val="002177D3"/>
    <w:rPr>
      <w:lang w:val="en-US"/>
    </w:rPr>
  </w:style>
  <w:style w:type="paragraph" w:styleId="NormalWeb">
    <w:name w:val="Normal (Web)"/>
    <w:basedOn w:val="Normal"/>
    <w:uiPriority w:val="99"/>
    <w:semiHidden/>
    <w:unhideWhenUsed/>
    <w:rsid w:val="002177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768/rtipress.2023.op.0085.2301"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org/10.1111/jora.127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03/cmaj.2109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2105/AJPH.2022.307174" TargetMode="External"/><Relationship Id="rId4" Type="http://schemas.openxmlformats.org/officeDocument/2006/relationships/styles" Target="styles.xml"/><Relationship Id="rId9" Type="http://schemas.openxmlformats.org/officeDocument/2006/relationships/hyperlink" Target="https://www.ilo.org/wcmsp5/groups/public/---ed_emp/documents/publication/wcms_778847.pdf" TargetMode="External"/><Relationship Id="rId14" Type="http://schemas.openxmlformats.org/officeDocument/2006/relationships/hyperlink" Target="https://psycnet.apa.org/doi/10.1037/1348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52067a-6605-47ef-a709-a26f0bd312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079926C5713439FA86A9B30DE7377" ma:contentTypeVersion="16" ma:contentTypeDescription="Create a new document." ma:contentTypeScope="" ma:versionID="0d4e559ced3d302dfcf8291287c43c68">
  <xsd:schema xmlns:xsd="http://www.w3.org/2001/XMLSchema" xmlns:xs="http://www.w3.org/2001/XMLSchema" xmlns:p="http://schemas.microsoft.com/office/2006/metadata/properties" xmlns:ns3="8d52067a-6605-47ef-a709-a26f0bd3122d" xmlns:ns4="d8f27151-4f91-47c0-bf14-b616d43e5b2f" targetNamespace="http://schemas.microsoft.com/office/2006/metadata/properties" ma:root="true" ma:fieldsID="99a10d98730fd15b180e30569ee435a1" ns3:_="" ns4:_="">
    <xsd:import namespace="8d52067a-6605-47ef-a709-a26f0bd3122d"/>
    <xsd:import namespace="d8f27151-4f91-47c0-bf14-b616d43e5b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2067a-6605-47ef-a709-a26f0bd31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27151-4f91-47c0-bf14-b616d43e5b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861F7-F49D-4334-8456-0B08A5881083}">
  <ds:schemaRefs>
    <ds:schemaRef ds:uri="http://schemas.microsoft.com/office/2006/metadata/properties"/>
    <ds:schemaRef ds:uri="http://schemas.microsoft.com/office/infopath/2007/PartnerControls"/>
    <ds:schemaRef ds:uri="8d52067a-6605-47ef-a709-a26f0bd3122d"/>
  </ds:schemaRefs>
</ds:datastoreItem>
</file>

<file path=customXml/itemProps2.xml><?xml version="1.0" encoding="utf-8"?>
<ds:datastoreItem xmlns:ds="http://schemas.openxmlformats.org/officeDocument/2006/customXml" ds:itemID="{1B8946ED-0272-45D8-8D82-84136C307D7E}">
  <ds:schemaRefs>
    <ds:schemaRef ds:uri="http://schemas.microsoft.com/sharepoint/v3/contenttype/forms"/>
  </ds:schemaRefs>
</ds:datastoreItem>
</file>

<file path=customXml/itemProps3.xml><?xml version="1.0" encoding="utf-8"?>
<ds:datastoreItem xmlns:ds="http://schemas.openxmlformats.org/officeDocument/2006/customXml" ds:itemID="{3B602F36-EE02-4594-A002-4AEA6917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2067a-6605-47ef-a709-a26f0bd3122d"/>
    <ds:schemaRef ds:uri="d8f27151-4f91-47c0-bf14-b616d43e5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890</Words>
  <Characters>5952</Characters>
  <Application>Microsoft Office Word</Application>
  <DocSecurity>0</DocSecurity>
  <Lines>112</Lines>
  <Paragraphs>40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김근아</cp:lastModifiedBy>
  <cp:revision>16</cp:revision>
  <dcterms:created xsi:type="dcterms:W3CDTF">2026-03-25T22:14:00Z</dcterms:created>
  <dcterms:modified xsi:type="dcterms:W3CDTF">2026-04-03T07:19:00Z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0x010100FE3079926C5713439FA86A9B30DE7377</vt:lpwstr>
  </property>
</Properties>
</file>